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89F2242" w14:textId="300E0A30" w:rsidR="007B683B" w:rsidRPr="006453D9" w:rsidRDefault="00AA4194" w:rsidP="007B683B">
      <w:pPr>
        <w:pStyle w:val="MDPI11articletype"/>
      </w:pPr>
      <w:r w:rsidRPr="00AA4194">
        <w:t>Supplementary Materials</w:t>
      </w:r>
    </w:p>
    <w:p w14:paraId="48C8B2B2" w14:textId="77777777" w:rsidR="00874B2B" w:rsidRDefault="00874B2B" w:rsidP="007B683B">
      <w:pPr>
        <w:pStyle w:val="MDPI13authornames"/>
        <w:rPr>
          <w:snapToGrid w:val="0"/>
          <w:sz w:val="36"/>
          <w:szCs w:val="20"/>
        </w:rPr>
      </w:pPr>
      <w:r w:rsidRPr="00874B2B">
        <w:rPr>
          <w:snapToGrid w:val="0"/>
          <w:sz w:val="36"/>
          <w:szCs w:val="20"/>
        </w:rPr>
        <w:t>Chemiluminescence Biosensor for the Detection of Cardiac Troponin I (cTnI)</w:t>
      </w:r>
    </w:p>
    <w:p w14:paraId="219C9DB2" w14:textId="3152991D" w:rsidR="00B46C44" w:rsidRDefault="00DD04E7" w:rsidP="007B683B">
      <w:pPr>
        <w:pStyle w:val="MDPI13authornames"/>
      </w:pPr>
      <w:r>
        <w:t>Robert Tannenberg</w:t>
      </w:r>
      <w:r w:rsidR="007B683B" w:rsidRPr="00D945EC">
        <w:t xml:space="preserve"> </w:t>
      </w:r>
      <w:r w:rsidR="007B683B" w:rsidRPr="001F31D1">
        <w:rPr>
          <w:vertAlign w:val="superscript"/>
        </w:rPr>
        <w:t>1</w:t>
      </w:r>
      <w:r w:rsidR="007B683B" w:rsidRPr="00D945EC">
        <w:t xml:space="preserve">, </w:t>
      </w:r>
      <w:r w:rsidR="009504DE" w:rsidRPr="009504DE">
        <w:t xml:space="preserve">Martin Paul </w:t>
      </w:r>
      <w:r w:rsidR="009504DE" w:rsidRPr="009504DE">
        <w:rPr>
          <w:vertAlign w:val="superscript"/>
        </w:rPr>
        <w:t>1</w:t>
      </w:r>
      <w:r w:rsidR="009504DE" w:rsidRPr="009504DE">
        <w:t xml:space="preserve">, Bettina Röder </w:t>
      </w:r>
      <w:r w:rsidR="009504DE" w:rsidRPr="009504DE">
        <w:rPr>
          <w:vertAlign w:val="superscript"/>
        </w:rPr>
        <w:t>1</w:t>
      </w:r>
      <w:r w:rsidR="009504DE" w:rsidRPr="009504DE">
        <w:t xml:space="preserve">, Santosh L. </w:t>
      </w:r>
      <w:proofErr w:type="spellStart"/>
      <w:r w:rsidR="009504DE" w:rsidRPr="009504DE">
        <w:t>Gande</w:t>
      </w:r>
      <w:proofErr w:type="spellEnd"/>
      <w:r w:rsidR="009504DE" w:rsidRPr="009504DE">
        <w:t xml:space="preserve"> </w:t>
      </w:r>
      <w:r w:rsidR="009504DE" w:rsidRPr="009504DE">
        <w:rPr>
          <w:vertAlign w:val="superscript"/>
        </w:rPr>
        <w:t>2</w:t>
      </w:r>
      <w:r w:rsidR="009504DE" w:rsidRPr="009504DE">
        <w:t xml:space="preserve">, Sridhar </w:t>
      </w:r>
      <w:proofErr w:type="spellStart"/>
      <w:r w:rsidR="009504DE" w:rsidRPr="009504DE">
        <w:t>Sreeramulu</w:t>
      </w:r>
      <w:proofErr w:type="spellEnd"/>
      <w:r w:rsidR="009504DE" w:rsidRPr="009504DE">
        <w:t xml:space="preserve"> </w:t>
      </w:r>
      <w:r w:rsidR="009504DE" w:rsidRPr="009504DE">
        <w:rPr>
          <w:vertAlign w:val="superscript"/>
        </w:rPr>
        <w:t>2</w:t>
      </w:r>
      <w:r w:rsidR="009504DE" w:rsidRPr="009504DE">
        <w:t xml:space="preserve">, Krishna Saxena </w:t>
      </w:r>
      <w:r w:rsidR="009504DE" w:rsidRPr="009504DE">
        <w:rPr>
          <w:vertAlign w:val="superscript"/>
        </w:rPr>
        <w:t>2</w:t>
      </w:r>
      <w:r w:rsidR="009504DE" w:rsidRPr="009504DE">
        <w:t xml:space="preserve">, Christian Richter </w:t>
      </w:r>
      <w:r w:rsidR="009504DE" w:rsidRPr="009504DE">
        <w:rPr>
          <w:vertAlign w:val="superscript"/>
        </w:rPr>
        <w:t>2</w:t>
      </w:r>
      <w:r w:rsidR="009504DE" w:rsidRPr="009504DE">
        <w:t xml:space="preserve">, Harald Schwalbe </w:t>
      </w:r>
      <w:r w:rsidR="009504DE" w:rsidRPr="009504DE">
        <w:rPr>
          <w:vertAlign w:val="superscript"/>
        </w:rPr>
        <w:t>2</w:t>
      </w:r>
      <w:r w:rsidR="009504DE" w:rsidRPr="009504DE">
        <w:t xml:space="preserve">, Claudia Swart </w:t>
      </w:r>
      <w:proofErr w:type="gramStart"/>
      <w:r w:rsidR="009504DE" w:rsidRPr="009504DE">
        <w:rPr>
          <w:vertAlign w:val="superscript"/>
        </w:rPr>
        <w:t>3</w:t>
      </w:r>
      <w:proofErr w:type="gramEnd"/>
      <w:r w:rsidR="009504DE" w:rsidRPr="009504DE">
        <w:t xml:space="preserve"> and Michael G. Weller </w:t>
      </w:r>
      <w:r w:rsidR="009504DE" w:rsidRPr="009504DE">
        <w:rPr>
          <w:vertAlign w:val="superscript"/>
        </w:rPr>
        <w:t>1</w:t>
      </w:r>
      <w:r w:rsidR="009504DE" w:rsidRPr="009504DE">
        <w:t>*</w:t>
      </w:r>
    </w:p>
    <w:p w14:paraId="4DDAB219" w14:textId="1A4608AE" w:rsidR="00B425B6" w:rsidRPr="00D945EC" w:rsidRDefault="00B425B6" w:rsidP="00B425B6">
      <w:pPr>
        <w:pStyle w:val="MDPI16affiliation"/>
        <w:ind w:left="198"/>
      </w:pPr>
      <w:r w:rsidRPr="00211A8C">
        <w:rPr>
          <w:vertAlign w:val="superscript"/>
        </w:rPr>
        <w:t>1</w:t>
      </w:r>
      <w:r w:rsidRPr="00D945EC">
        <w:tab/>
      </w:r>
      <w:r>
        <w:t xml:space="preserve">Federal Institute for Materials Research and Testing (BAM), </w:t>
      </w:r>
      <w:r w:rsidRPr="00ED7C9D">
        <w:t xml:space="preserve">Richard-Willstätter-Strasse 11, 12489 Berlin, Germany; robert.tannenberg@bam.de (R.T.); </w:t>
      </w:r>
      <w:r w:rsidRPr="00ED7C9D">
        <w:rPr>
          <w:color w:val="auto"/>
        </w:rPr>
        <w:t>martin.paul@bam.de (M.P.)</w:t>
      </w:r>
      <w:r>
        <w:rPr>
          <w:color w:val="auto"/>
        </w:rPr>
        <w:t>; bettina.roeder@bam.de (B.R.)</w:t>
      </w:r>
      <w:r w:rsidR="00D52C61">
        <w:rPr>
          <w:color w:val="auto"/>
        </w:rPr>
        <w:t xml:space="preserve">, </w:t>
      </w:r>
      <w:r>
        <w:t xml:space="preserve">* Correspondence: </w:t>
      </w:r>
      <w:r w:rsidRPr="00F473C5">
        <w:t>michael.weller@bam.de</w:t>
      </w:r>
      <w:r>
        <w:t xml:space="preserve"> (M.G.W.); Tel.: +49-30-8104-1150</w:t>
      </w:r>
    </w:p>
    <w:p w14:paraId="59EF43AB" w14:textId="77777777" w:rsidR="00B425B6" w:rsidRPr="002118F2" w:rsidRDefault="00B425B6" w:rsidP="00B425B6">
      <w:pPr>
        <w:pStyle w:val="MDPI16affiliation"/>
        <w:ind w:left="198"/>
        <w:rPr>
          <w:lang w:val="de-DE"/>
        </w:rPr>
      </w:pPr>
      <w:r w:rsidRPr="0089421F">
        <w:rPr>
          <w:vertAlign w:val="superscript"/>
          <w:lang w:val="de-DE"/>
        </w:rPr>
        <w:t>2</w:t>
      </w:r>
      <w:r w:rsidRPr="0089421F">
        <w:rPr>
          <w:lang w:val="de-DE"/>
        </w:rPr>
        <w:tab/>
        <w:t xml:space="preserve">Goethe-University Frankfurt, Max-von-Laue-Str. </w:t>
      </w:r>
      <w:r w:rsidRPr="002118F2">
        <w:rPr>
          <w:lang w:val="de-DE"/>
        </w:rPr>
        <w:t>7, 60438 Frankfurt/M, Germany</w:t>
      </w:r>
      <w:r>
        <w:rPr>
          <w:lang w:val="de-DE"/>
        </w:rPr>
        <w:t>; g</w:t>
      </w:r>
      <w:r w:rsidRPr="002118F2">
        <w:rPr>
          <w:lang w:val="de-DE"/>
        </w:rPr>
        <w:t>ande@nmr.uni-frankfurt.de</w:t>
      </w:r>
      <w:r>
        <w:rPr>
          <w:lang w:val="de-DE"/>
        </w:rPr>
        <w:t xml:space="preserve"> (S.G.);</w:t>
      </w:r>
      <w:r w:rsidRPr="002118F2">
        <w:rPr>
          <w:lang w:val="de-DE"/>
        </w:rPr>
        <w:t xml:space="preserve"> sridhar@nmr.uni-frankfurt.de (S.S</w:t>
      </w:r>
      <w:r>
        <w:rPr>
          <w:lang w:val="de-DE"/>
        </w:rPr>
        <w:t xml:space="preserve">.); </w:t>
      </w:r>
      <w:r w:rsidRPr="002118F2">
        <w:rPr>
          <w:lang w:val="de-DE"/>
        </w:rPr>
        <w:t>saxena@em.uni-frankfurt.de</w:t>
      </w:r>
      <w:r>
        <w:rPr>
          <w:lang w:val="de-DE"/>
        </w:rPr>
        <w:t xml:space="preserve"> (K.S.); </w:t>
      </w:r>
      <w:r w:rsidRPr="002118F2">
        <w:rPr>
          <w:lang w:val="de-DE"/>
        </w:rPr>
        <w:t>ric@nmr.uni-frankfurt.de</w:t>
      </w:r>
      <w:r>
        <w:rPr>
          <w:lang w:val="de-DE"/>
        </w:rPr>
        <w:t xml:space="preserve"> (C.R.); </w:t>
      </w:r>
      <w:r w:rsidRPr="002118F2">
        <w:rPr>
          <w:lang w:val="de-DE"/>
        </w:rPr>
        <w:t>schwalbe@nmr.uni-frankfurt.de</w:t>
      </w:r>
      <w:r>
        <w:rPr>
          <w:lang w:val="de-DE"/>
        </w:rPr>
        <w:t xml:space="preserve"> (H.S.)</w:t>
      </w:r>
    </w:p>
    <w:p w14:paraId="4B03E81D" w14:textId="77777777" w:rsidR="00B425B6" w:rsidRPr="00ED7C9D" w:rsidRDefault="00B425B6" w:rsidP="00B425B6">
      <w:pPr>
        <w:pStyle w:val="MDPI16affiliation"/>
        <w:ind w:left="198"/>
        <w:rPr>
          <w:lang w:val="de-DE"/>
        </w:rPr>
      </w:pPr>
      <w:r w:rsidRPr="00ED7C9D">
        <w:rPr>
          <w:vertAlign w:val="superscript"/>
          <w:lang w:val="de-DE"/>
        </w:rPr>
        <w:t>3</w:t>
      </w:r>
      <w:r w:rsidRPr="00ED7C9D">
        <w:rPr>
          <w:lang w:val="de-DE"/>
        </w:rPr>
        <w:tab/>
        <w:t>National Metrology Institute (PTB), Bundesallee 100; 38116 Braunschweig</w:t>
      </w:r>
      <w:r>
        <w:rPr>
          <w:lang w:val="de-DE"/>
        </w:rPr>
        <w:t>, Germany; c</w:t>
      </w:r>
      <w:r w:rsidRPr="002118F2">
        <w:rPr>
          <w:lang w:val="de-DE"/>
        </w:rPr>
        <w:t>laudia.</w:t>
      </w:r>
      <w:r>
        <w:rPr>
          <w:lang w:val="de-DE"/>
        </w:rPr>
        <w:t>s</w:t>
      </w:r>
      <w:r w:rsidRPr="002118F2">
        <w:rPr>
          <w:lang w:val="de-DE"/>
        </w:rPr>
        <w:t>wart@ptb.de</w:t>
      </w:r>
      <w:r>
        <w:rPr>
          <w:lang w:val="de-DE"/>
        </w:rPr>
        <w:t xml:space="preserve"> (C.S.)</w:t>
      </w:r>
    </w:p>
    <w:p w14:paraId="58456B77" w14:textId="70BDB0D4" w:rsidR="00451BAD" w:rsidRPr="00D52C61" w:rsidRDefault="00451BAD" w:rsidP="009504DE">
      <w:pPr>
        <w:pStyle w:val="MDPI16affiliation"/>
        <w:ind w:left="198"/>
        <w:rPr>
          <w:lang w:val="de-DE"/>
        </w:rPr>
      </w:pPr>
    </w:p>
    <w:p w14:paraId="3AE6F20C" w14:textId="704C3E38" w:rsidR="00164CB0" w:rsidRDefault="003F2485" w:rsidP="00164CB0">
      <w:pPr>
        <w:pStyle w:val="MDPI21heading1"/>
        <w:ind w:left="0"/>
        <w:rPr>
          <w:lang w:eastAsia="zh-CN"/>
        </w:rPr>
      </w:pPr>
      <w:r w:rsidRPr="00B37A03">
        <w:rPr>
          <w:noProof/>
        </w:rPr>
        <w:drawing>
          <wp:anchor distT="0" distB="0" distL="114300" distR="114300" simplePos="0" relativeHeight="251698176" behindDoc="0" locked="0" layoutInCell="1" allowOverlap="1" wp14:anchorId="491B836B" wp14:editId="23159461">
            <wp:simplePos x="0" y="0"/>
            <wp:positionH relativeFrom="margin">
              <wp:align>center</wp:align>
            </wp:positionH>
            <wp:positionV relativeFrom="paragraph">
              <wp:posOffset>353695</wp:posOffset>
            </wp:positionV>
            <wp:extent cx="5876241" cy="1620000"/>
            <wp:effectExtent l="0" t="0" r="0" b="0"/>
            <wp:wrapTopAndBottom/>
            <wp:docPr id="15"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876241" cy="1620000"/>
                    </a:xfrm>
                    <a:prstGeom prst="rect">
                      <a:avLst/>
                    </a:prstGeom>
                  </pic:spPr>
                </pic:pic>
              </a:graphicData>
            </a:graphic>
            <wp14:sizeRelH relativeFrom="margin">
              <wp14:pctWidth>0</wp14:pctWidth>
            </wp14:sizeRelH>
            <wp14:sizeRelV relativeFrom="margin">
              <wp14:pctHeight>0</wp14:pctHeight>
            </wp14:sizeRelV>
          </wp:anchor>
        </w:drawing>
      </w:r>
      <w:r w:rsidR="00B37A03">
        <w:rPr>
          <w:lang w:eastAsia="zh-CN"/>
        </w:rPr>
        <w:t xml:space="preserve">Characterization and Functionality Test of </w:t>
      </w:r>
      <w:proofErr w:type="spellStart"/>
      <w:r w:rsidR="00B37A03">
        <w:rPr>
          <w:lang w:eastAsia="zh-CN"/>
        </w:rPr>
        <w:t>cTn</w:t>
      </w:r>
      <w:proofErr w:type="spellEnd"/>
      <w:r w:rsidR="00CB2EFA">
        <w:rPr>
          <w:lang w:eastAsia="zh-CN"/>
        </w:rPr>
        <w:t xml:space="preserve"> expressed in </w:t>
      </w:r>
      <w:r w:rsidR="00CB2EFA" w:rsidRPr="00CB2EFA">
        <w:rPr>
          <w:i/>
          <w:iCs/>
          <w:lang w:eastAsia="zh-CN"/>
        </w:rPr>
        <w:t>E. coli</w:t>
      </w:r>
    </w:p>
    <w:p w14:paraId="12384F59" w14:textId="37FBE66D" w:rsidR="00B37A03" w:rsidRDefault="00571EE5" w:rsidP="003F2485">
      <w:pPr>
        <w:pStyle w:val="MDPI51figurecaption"/>
        <w:ind w:left="0"/>
      </w:pPr>
      <w:r w:rsidRPr="00571EE5">
        <w:rPr>
          <w:noProof/>
        </w:rPr>
        <w:drawing>
          <wp:anchor distT="0" distB="0" distL="114300" distR="114300" simplePos="0" relativeHeight="251700224" behindDoc="0" locked="0" layoutInCell="1" allowOverlap="1" wp14:anchorId="12C304DD" wp14:editId="0B02BF7D">
            <wp:simplePos x="0" y="0"/>
            <wp:positionH relativeFrom="margin">
              <wp:posOffset>1362075</wp:posOffset>
            </wp:positionH>
            <wp:positionV relativeFrom="paragraph">
              <wp:posOffset>2172335</wp:posOffset>
            </wp:positionV>
            <wp:extent cx="3964967" cy="3240000"/>
            <wp:effectExtent l="0" t="0" r="0" b="0"/>
            <wp:wrapTopAndBottom/>
            <wp:docPr id="18" name="Grafi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3964967" cy="3240000"/>
                    </a:xfrm>
                    <a:prstGeom prst="rect">
                      <a:avLst/>
                    </a:prstGeom>
                  </pic:spPr>
                </pic:pic>
              </a:graphicData>
            </a:graphic>
            <wp14:sizeRelH relativeFrom="margin">
              <wp14:pctWidth>0</wp14:pctWidth>
            </wp14:sizeRelH>
            <wp14:sizeRelV relativeFrom="margin">
              <wp14:pctHeight>0</wp14:pctHeight>
            </wp14:sizeRelV>
          </wp:anchor>
        </w:drawing>
      </w:r>
      <w:r w:rsidR="00B37A03" w:rsidRPr="003F2485">
        <w:rPr>
          <w:b/>
          <w:bCs/>
        </w:rPr>
        <w:t>Figure S1.</w:t>
      </w:r>
      <w:r w:rsidR="00B37A03">
        <w:t xml:space="preserve"> </w:t>
      </w:r>
      <w:r w:rsidR="00B37A03" w:rsidRPr="00B37A03">
        <w:t>Human cardiac troponin constructs and expression. PDB deposited crystal structure of the core domain of the human cardiac protein (4Y99), shown as a reference to ease perception and correspond to the color code of the different constructs designed, intended to be expressed in the prokaryotic system (</w:t>
      </w:r>
      <w:r w:rsidR="00B37A03" w:rsidRPr="003F2485">
        <w:rPr>
          <w:i/>
          <w:iCs/>
        </w:rPr>
        <w:t>E. coli</w:t>
      </w:r>
      <w:r w:rsidR="00B37A03" w:rsidRPr="00B37A03">
        <w:t>).</w:t>
      </w:r>
      <w:r w:rsidRPr="00571EE5">
        <w:t xml:space="preserve"> </w:t>
      </w:r>
    </w:p>
    <w:p w14:paraId="015A0C5E" w14:textId="0F7BE880" w:rsidR="00B37A03" w:rsidRDefault="00B37A03" w:rsidP="003F2485">
      <w:pPr>
        <w:pStyle w:val="MDPI51figurecaption"/>
        <w:ind w:left="0"/>
      </w:pPr>
      <w:r w:rsidRPr="003F2485">
        <w:rPr>
          <w:b/>
          <w:bCs/>
        </w:rPr>
        <w:t>Figure S2.</w:t>
      </w:r>
      <w:r>
        <w:t xml:space="preserve"> </w:t>
      </w:r>
      <w:r w:rsidR="003F2485">
        <w:t>SDS-PAGE of a</w:t>
      </w:r>
      <w:r w:rsidR="003F2485" w:rsidRPr="003F2485">
        <w:t>ll three troponin subunits</w:t>
      </w:r>
      <w:r w:rsidR="00002C19">
        <w:t xml:space="preserve"> (cTnI, cTnT</w:t>
      </w:r>
      <w:r w:rsidR="00A77339">
        <w:t>,</w:t>
      </w:r>
      <w:r w:rsidR="00002C19">
        <w:t xml:space="preserve"> and cTnC)</w:t>
      </w:r>
      <w:r w:rsidR="003F2485" w:rsidRPr="003F2485">
        <w:t xml:space="preserve"> were recombinantly expressed in </w:t>
      </w:r>
      <w:r w:rsidR="003F2485" w:rsidRPr="003F2485">
        <w:rPr>
          <w:i/>
          <w:iCs/>
        </w:rPr>
        <w:t>E. coli</w:t>
      </w:r>
      <w:r w:rsidR="003F2485" w:rsidRPr="003F2485">
        <w:t xml:space="preserve"> and purified with His fusion tag</w:t>
      </w:r>
      <w:r w:rsidR="003F2485">
        <w:t>,</w:t>
      </w:r>
      <w:r w:rsidR="003F2485" w:rsidRPr="003F2485">
        <w:t xml:space="preserve"> which could be removed with the TEV protease</w:t>
      </w:r>
      <w:r w:rsidR="00EB1D43">
        <w:t>.</w:t>
      </w:r>
    </w:p>
    <w:p w14:paraId="2F74AE47" w14:textId="32F83C6A" w:rsidR="003F2485" w:rsidRDefault="00002C19">
      <w:pPr>
        <w:spacing w:line="240" w:lineRule="auto"/>
        <w:jc w:val="left"/>
      </w:pPr>
      <w:r w:rsidRPr="00002C19">
        <w:lastRenderedPageBreak/>
        <w:drawing>
          <wp:anchor distT="0" distB="0" distL="114300" distR="114300" simplePos="0" relativeHeight="251702272" behindDoc="0" locked="0" layoutInCell="1" allowOverlap="1" wp14:anchorId="783284BF" wp14:editId="4E5C5DBA">
            <wp:simplePos x="0" y="0"/>
            <wp:positionH relativeFrom="column">
              <wp:posOffset>0</wp:posOffset>
            </wp:positionH>
            <wp:positionV relativeFrom="paragraph">
              <wp:posOffset>206375</wp:posOffset>
            </wp:positionV>
            <wp:extent cx="6645910" cy="4699000"/>
            <wp:effectExtent l="0" t="0" r="2540" b="6350"/>
            <wp:wrapTopAndBottom/>
            <wp:docPr id="19" name="Grafi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cstate="hqprint">
                      <a:extLst>
                        <a:ext uri="{28A0092B-C50C-407E-A947-70E740481C1C}">
                          <a14:useLocalDpi xmlns:a14="http://schemas.microsoft.com/office/drawing/2010/main"/>
                        </a:ext>
                      </a:extLst>
                    </a:blip>
                    <a:stretch>
                      <a:fillRect/>
                    </a:stretch>
                  </pic:blipFill>
                  <pic:spPr>
                    <a:xfrm>
                      <a:off x="0" y="0"/>
                      <a:ext cx="6645910" cy="4699000"/>
                    </a:xfrm>
                    <a:prstGeom prst="rect">
                      <a:avLst/>
                    </a:prstGeom>
                  </pic:spPr>
                </pic:pic>
              </a:graphicData>
            </a:graphic>
          </wp:anchor>
        </w:drawing>
      </w:r>
    </w:p>
    <w:p w14:paraId="6C87907D" w14:textId="01C3F359" w:rsidR="00002C19" w:rsidRDefault="00002C19" w:rsidP="00002C19">
      <w:pPr>
        <w:pStyle w:val="MDPI51figurecaption"/>
        <w:ind w:left="0"/>
      </w:pPr>
      <w:r w:rsidRPr="00002C19">
        <w:rPr>
          <w:b/>
          <w:bCs/>
        </w:rPr>
        <w:t>Figure S3.</w:t>
      </w:r>
      <w:r>
        <w:t xml:space="preserve"> </w:t>
      </w:r>
      <w:r w:rsidRPr="00E81E66">
        <w:rPr>
          <w:b/>
          <w:bCs/>
        </w:rPr>
        <w:t>A</w:t>
      </w:r>
      <w:r w:rsidR="00E81E66">
        <w:rPr>
          <w:b/>
          <w:bCs/>
        </w:rPr>
        <w:t>)</w:t>
      </w:r>
      <w:r w:rsidR="00E81E66" w:rsidRPr="00E81E66">
        <w:t xml:space="preserve"> </w:t>
      </w:r>
      <w:r w:rsidR="00E81E66" w:rsidRPr="009D6158">
        <w:t xml:space="preserve">Human cardiac troponin binary and ternary complexes. cTnI and </w:t>
      </w:r>
      <w:r w:rsidR="00E81E66">
        <w:t>cTnC</w:t>
      </w:r>
      <w:r w:rsidR="00E81E66" w:rsidRPr="009D6158">
        <w:t xml:space="preserve"> could form a stable binary complex purified on size-exclusion chromatography (SEC). Fractions of the SEC chromatography with the binary complex were shown on the SDS-PAGE (left). The chromatograms of the binary complex in the middle </w:t>
      </w:r>
      <w:r w:rsidR="00E81E66">
        <w:t>show a</w:t>
      </w:r>
      <w:r w:rsidR="00E81E66" w:rsidRPr="009D6158">
        <w:t xml:space="preserve"> 1:1 ratio of cTnI and </w:t>
      </w:r>
      <w:r w:rsidR="00E81E66">
        <w:t>cTnC</w:t>
      </w:r>
      <w:r w:rsidR="00E81E66" w:rsidRPr="009D6158">
        <w:t xml:space="preserve"> (in black) and with an excess of cTnI (in pink), and the graphical picture shows the arbitrary molecular weight of the binary complex with reference to the standard molecular weight markers of the SEC 75 </w:t>
      </w:r>
      <w:proofErr w:type="spellStart"/>
      <w:r w:rsidR="00E81E66" w:rsidRPr="009D6158">
        <w:t>tricon</w:t>
      </w:r>
      <w:proofErr w:type="spellEnd"/>
      <w:r w:rsidR="00E81E66" w:rsidRPr="009D6158">
        <w:t xml:space="preserve"> (middle). Purified </w:t>
      </w:r>
      <w:proofErr w:type="spellStart"/>
      <w:r w:rsidR="00E81E66" w:rsidRPr="009D6158">
        <w:t>cTn</w:t>
      </w:r>
      <w:proofErr w:type="spellEnd"/>
      <w:r w:rsidR="00E81E66" w:rsidRPr="009D6158">
        <w:t xml:space="preserve"> ternary complex on the SDS-PAGE (right). </w:t>
      </w:r>
      <w:r w:rsidR="00E81E66" w:rsidRPr="00E81E66">
        <w:rPr>
          <w:b/>
          <w:bCs/>
        </w:rPr>
        <w:t>B</w:t>
      </w:r>
      <w:r w:rsidR="00E81E66">
        <w:t>)</w:t>
      </w:r>
      <w:r w:rsidR="00E81E66" w:rsidRPr="009D6158">
        <w:t xml:space="preserve"> </w:t>
      </w:r>
      <w:r w:rsidR="00E81E66" w:rsidRPr="0061577E">
        <w:rPr>
          <w:vertAlign w:val="superscript"/>
        </w:rPr>
        <w:t>1</w:t>
      </w:r>
      <w:r w:rsidR="00E81E66" w:rsidRPr="009D6158">
        <w:t>H,</w:t>
      </w:r>
      <w:r w:rsidR="00E81E66" w:rsidRPr="0061577E">
        <w:rPr>
          <w:vertAlign w:val="superscript"/>
        </w:rPr>
        <w:t>15</w:t>
      </w:r>
      <w:r w:rsidR="00E81E66" w:rsidRPr="009D6158">
        <w:t xml:space="preserve">N TROSY HSQC spectra (950 MHz) of the </w:t>
      </w:r>
      <w:r w:rsidR="00E81E66" w:rsidRPr="0061577E">
        <w:rPr>
          <w:vertAlign w:val="superscript"/>
        </w:rPr>
        <w:t>15</w:t>
      </w:r>
      <w:r w:rsidR="00E81E66" w:rsidRPr="009D6158">
        <w:t>N-</w:t>
      </w:r>
      <w:r w:rsidR="00E81E66">
        <w:t>cTnI</w:t>
      </w:r>
      <w:r w:rsidR="00E81E66" w:rsidRPr="009D6158">
        <w:t xml:space="preserve"> (apo, </w:t>
      </w:r>
      <w:r w:rsidR="00E81E66">
        <w:t>cyan</w:t>
      </w:r>
      <w:r w:rsidR="00E81E66" w:rsidRPr="009D6158">
        <w:t xml:space="preserve"> spectrum) and </w:t>
      </w:r>
      <w:r w:rsidR="00E81E66">
        <w:t>cTnC</w:t>
      </w:r>
      <w:r w:rsidR="00E81E66" w:rsidRPr="009D6158">
        <w:t>-cTnI binary complex (</w:t>
      </w:r>
      <w:proofErr w:type="spellStart"/>
      <w:r w:rsidR="00E81E66" w:rsidRPr="009D6158">
        <w:t>holo</w:t>
      </w:r>
      <w:proofErr w:type="spellEnd"/>
      <w:r w:rsidR="00E81E66" w:rsidRPr="009D6158">
        <w:t xml:space="preserve">, </w:t>
      </w:r>
      <w:r w:rsidR="00E81E66">
        <w:t>black</w:t>
      </w:r>
      <w:r w:rsidR="00E81E66" w:rsidRPr="009D6158">
        <w:t xml:space="preserve"> spectrum). Inset: crystal structure of </w:t>
      </w:r>
      <w:r w:rsidR="00E81E66">
        <w:t>cTnC</w:t>
      </w:r>
      <w:r w:rsidR="00E81E66" w:rsidRPr="009D6158">
        <w:t xml:space="preserve"> or cTnI-</w:t>
      </w:r>
      <w:r w:rsidR="00E81E66">
        <w:t>cTnC</w:t>
      </w:r>
      <w:r w:rsidR="00E81E66" w:rsidRPr="009D6158">
        <w:t xml:space="preserve"> complex. The spectra were acquired at 298 K in 50 mM Tris pH 8.2, 200 mM NaCl, 5</w:t>
      </w:r>
      <w:r w:rsidR="00E81E66">
        <w:t> </w:t>
      </w:r>
      <w:r w:rsidR="00E81E66" w:rsidRPr="009D6158">
        <w:t>mM CaCl</w:t>
      </w:r>
      <w:r w:rsidR="00E81E66" w:rsidRPr="00E81E66">
        <w:rPr>
          <w:vertAlign w:val="subscript"/>
        </w:rPr>
        <w:t>2</w:t>
      </w:r>
      <w:r w:rsidR="00E81E66" w:rsidRPr="009D6158">
        <w:t xml:space="preserve">, </w:t>
      </w:r>
      <w:r w:rsidR="00E81E66">
        <w:t xml:space="preserve">and </w:t>
      </w:r>
      <w:r w:rsidR="00E81E66" w:rsidRPr="009D6158">
        <w:t>2</w:t>
      </w:r>
      <w:r w:rsidR="00E81E66">
        <w:t> </w:t>
      </w:r>
      <w:r w:rsidR="00E81E66" w:rsidRPr="009D6158">
        <w:t>mM TCEP.</w:t>
      </w:r>
      <w:r w:rsidR="00E81E66">
        <w:t xml:space="preserve"> </w:t>
      </w:r>
      <w:r w:rsidR="00E81E66" w:rsidRPr="005515C3">
        <w:rPr>
          <w:b/>
          <w:bCs/>
        </w:rPr>
        <w:t>C)</w:t>
      </w:r>
      <w:r w:rsidR="00E81E66" w:rsidRPr="009D6158">
        <w:t xml:space="preserve"> </w:t>
      </w:r>
      <w:r w:rsidR="00E81E66" w:rsidRPr="008E6CE8">
        <w:rPr>
          <w:vertAlign w:val="superscript"/>
        </w:rPr>
        <w:t>1</w:t>
      </w:r>
      <w:r w:rsidR="00E81E66" w:rsidRPr="009D6158">
        <w:t>H,</w:t>
      </w:r>
      <w:r w:rsidR="00E81E66" w:rsidRPr="008E6CE8">
        <w:rPr>
          <w:vertAlign w:val="superscript"/>
        </w:rPr>
        <w:t>15</w:t>
      </w:r>
      <w:r w:rsidR="00E81E66" w:rsidRPr="009D6158">
        <w:t xml:space="preserve">N TROSY HSQC spectra (950 MHz) of the </w:t>
      </w:r>
      <w:r w:rsidR="00E81E66" w:rsidRPr="008E6CE8">
        <w:rPr>
          <w:vertAlign w:val="superscript"/>
        </w:rPr>
        <w:t>15</w:t>
      </w:r>
      <w:r w:rsidR="00E81E66" w:rsidRPr="009D6158">
        <w:t>N-</w:t>
      </w:r>
      <w:r w:rsidR="00E81E66">
        <w:t>cTnC</w:t>
      </w:r>
      <w:r w:rsidR="00E81E66" w:rsidRPr="009D6158">
        <w:t xml:space="preserve"> (apo, </w:t>
      </w:r>
      <w:r w:rsidR="00E81E66">
        <w:t>red</w:t>
      </w:r>
      <w:r w:rsidR="00E81E66" w:rsidRPr="009D6158">
        <w:t xml:space="preserve"> spectrum) and </w:t>
      </w:r>
      <w:r w:rsidR="00E81E66">
        <w:t>cTnC</w:t>
      </w:r>
      <w:r w:rsidR="00E81E66" w:rsidRPr="009D6158">
        <w:t>-cTnI binary complex (</w:t>
      </w:r>
      <w:proofErr w:type="spellStart"/>
      <w:r w:rsidR="00E81E66" w:rsidRPr="009D6158">
        <w:t>holo</w:t>
      </w:r>
      <w:proofErr w:type="spellEnd"/>
      <w:r w:rsidR="00E81E66" w:rsidRPr="009D6158">
        <w:t xml:space="preserve">, </w:t>
      </w:r>
      <w:r w:rsidR="00E81E66">
        <w:t>black</w:t>
      </w:r>
      <w:r w:rsidR="00E81E66" w:rsidRPr="009D6158">
        <w:t xml:space="preserve"> spectrum). Inset: crystal structure of </w:t>
      </w:r>
      <w:r w:rsidR="00E81E66">
        <w:t>cTnC</w:t>
      </w:r>
      <w:r w:rsidR="00E81E66" w:rsidRPr="009D6158">
        <w:t xml:space="preserve"> or cTnI-</w:t>
      </w:r>
      <w:r w:rsidR="00E81E66">
        <w:t>cTnC</w:t>
      </w:r>
      <w:r w:rsidR="00E81E66" w:rsidRPr="009D6158">
        <w:t xml:space="preserve"> complex. The spectra were acquired at 298 K in 50</w:t>
      </w:r>
      <w:r w:rsidR="005515C3">
        <w:t> </w:t>
      </w:r>
      <w:r w:rsidR="00E81E66" w:rsidRPr="009D6158">
        <w:t>mM Tris pH</w:t>
      </w:r>
      <w:r w:rsidR="005515C3">
        <w:t> </w:t>
      </w:r>
      <w:r w:rsidR="00E81E66" w:rsidRPr="009D6158">
        <w:t>8.2, 200</w:t>
      </w:r>
      <w:r w:rsidR="005515C3">
        <w:t> </w:t>
      </w:r>
      <w:r w:rsidR="00E81E66" w:rsidRPr="009D6158">
        <w:t>mM NaCl, 5</w:t>
      </w:r>
      <w:r w:rsidR="005515C3">
        <w:t> </w:t>
      </w:r>
      <w:r w:rsidR="00E81E66" w:rsidRPr="009D6158">
        <w:t>mM CaCl</w:t>
      </w:r>
      <w:r w:rsidR="00E81E66">
        <w:rPr>
          <w:vertAlign w:val="subscript"/>
        </w:rPr>
        <w:t>2</w:t>
      </w:r>
      <w:r w:rsidR="00E81E66" w:rsidRPr="009D6158">
        <w:t xml:space="preserve">, </w:t>
      </w:r>
      <w:r w:rsidR="00E81E66">
        <w:t xml:space="preserve">and </w:t>
      </w:r>
      <w:r w:rsidR="00E81E66" w:rsidRPr="009D6158">
        <w:t>2</w:t>
      </w:r>
      <w:r w:rsidR="00E81E66">
        <w:t> </w:t>
      </w:r>
      <w:r w:rsidR="00E81E66" w:rsidRPr="009D6158">
        <w:t>mM TCEP.</w:t>
      </w:r>
    </w:p>
    <w:p w14:paraId="44442BCD" w14:textId="74D362F0" w:rsidR="007959E3" w:rsidRDefault="007959E3">
      <w:pPr>
        <w:spacing w:line="240" w:lineRule="auto"/>
        <w:jc w:val="left"/>
        <w:rPr>
          <w:rFonts w:eastAsia="Times New Roman"/>
          <w:noProof w:val="0"/>
          <w:snapToGrid w:val="0"/>
          <w:szCs w:val="22"/>
          <w:lang w:eastAsia="de-DE" w:bidi="en-US"/>
        </w:rPr>
      </w:pPr>
      <w:r>
        <w:br w:type="page"/>
      </w:r>
    </w:p>
    <w:p w14:paraId="7B22D65A" w14:textId="7FE2978E" w:rsidR="007959E3" w:rsidRDefault="007959E3" w:rsidP="007959E3">
      <w:pPr>
        <w:pStyle w:val="MDPI21heading1"/>
        <w:ind w:left="0"/>
        <w:rPr>
          <w:lang w:eastAsia="zh-CN"/>
        </w:rPr>
      </w:pPr>
      <w:r w:rsidRPr="00461089">
        <w:rPr>
          <w:noProof/>
        </w:rPr>
        <w:lastRenderedPageBreak/>
        <w:drawing>
          <wp:anchor distT="0" distB="0" distL="114300" distR="114300" simplePos="0" relativeHeight="251695104" behindDoc="0" locked="0" layoutInCell="1" allowOverlap="1" wp14:anchorId="728E5B4C" wp14:editId="5A517955">
            <wp:simplePos x="0" y="0"/>
            <wp:positionH relativeFrom="margin">
              <wp:posOffset>1575435</wp:posOffset>
            </wp:positionH>
            <wp:positionV relativeFrom="paragraph">
              <wp:posOffset>5642610</wp:posOffset>
            </wp:positionV>
            <wp:extent cx="3527419" cy="2700000"/>
            <wp:effectExtent l="0" t="0" r="0" b="5715"/>
            <wp:wrapTopAndBottom/>
            <wp:docPr id="8"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3527419" cy="2700000"/>
                    </a:xfrm>
                    <a:prstGeom prst="rect">
                      <a:avLst/>
                    </a:prstGeom>
                  </pic:spPr>
                </pic:pic>
              </a:graphicData>
            </a:graphic>
            <wp14:sizeRelH relativeFrom="margin">
              <wp14:pctWidth>0</wp14:pctWidth>
            </wp14:sizeRelH>
            <wp14:sizeRelV relativeFrom="margin">
              <wp14:pctHeight>0</wp14:pctHeight>
            </wp14:sizeRelV>
          </wp:anchor>
        </w:drawing>
      </w:r>
      <w:r w:rsidRPr="00461089">
        <w:rPr>
          <w:noProof/>
        </w:rPr>
        <w:drawing>
          <wp:anchor distT="0" distB="0" distL="114300" distR="114300" simplePos="0" relativeHeight="251696128" behindDoc="0" locked="0" layoutInCell="1" allowOverlap="1" wp14:anchorId="02A89311" wp14:editId="181E96D8">
            <wp:simplePos x="0" y="0"/>
            <wp:positionH relativeFrom="margin">
              <wp:posOffset>1574800</wp:posOffset>
            </wp:positionH>
            <wp:positionV relativeFrom="paragraph">
              <wp:posOffset>2886710</wp:posOffset>
            </wp:positionV>
            <wp:extent cx="3527425" cy="2699385"/>
            <wp:effectExtent l="0" t="0" r="0" b="5715"/>
            <wp:wrapTopAndBottom/>
            <wp:docPr id="9"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3527425" cy="2699385"/>
                    </a:xfrm>
                    <a:prstGeom prst="rect">
                      <a:avLst/>
                    </a:prstGeom>
                  </pic:spPr>
                </pic:pic>
              </a:graphicData>
            </a:graphic>
            <wp14:sizeRelH relativeFrom="margin">
              <wp14:pctWidth>0</wp14:pctWidth>
            </wp14:sizeRelH>
            <wp14:sizeRelV relativeFrom="margin">
              <wp14:pctHeight>0</wp14:pctHeight>
            </wp14:sizeRelV>
          </wp:anchor>
        </w:drawing>
      </w:r>
      <w:r w:rsidRPr="00461089">
        <w:rPr>
          <w:noProof/>
        </w:rPr>
        <w:drawing>
          <wp:anchor distT="0" distB="0" distL="114300" distR="114300" simplePos="0" relativeHeight="251694080" behindDoc="0" locked="0" layoutInCell="1" allowOverlap="1" wp14:anchorId="688DA1A1" wp14:editId="1C7E8112">
            <wp:simplePos x="0" y="0"/>
            <wp:positionH relativeFrom="margin">
              <wp:posOffset>1575435</wp:posOffset>
            </wp:positionH>
            <wp:positionV relativeFrom="paragraph">
              <wp:posOffset>322580</wp:posOffset>
            </wp:positionV>
            <wp:extent cx="3527419" cy="2700000"/>
            <wp:effectExtent l="0" t="0" r="0" b="5715"/>
            <wp:wrapTopAndBottom/>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3527419" cy="2700000"/>
                    </a:xfrm>
                    <a:prstGeom prst="rect">
                      <a:avLst/>
                    </a:prstGeom>
                  </pic:spPr>
                </pic:pic>
              </a:graphicData>
            </a:graphic>
            <wp14:sizeRelH relativeFrom="margin">
              <wp14:pctWidth>0</wp14:pctWidth>
            </wp14:sizeRelH>
            <wp14:sizeRelV relativeFrom="margin">
              <wp14:pctHeight>0</wp14:pctHeight>
            </wp14:sizeRelV>
          </wp:anchor>
        </w:drawing>
      </w:r>
      <w:r>
        <w:rPr>
          <w:lang w:eastAsia="zh-CN"/>
        </w:rPr>
        <w:t xml:space="preserve">MALDI-TOF-MS spectra of recombinant cTnI, cTnT, and </w:t>
      </w:r>
      <w:r w:rsidR="00BA22A8">
        <w:rPr>
          <w:lang w:eastAsia="zh-CN"/>
        </w:rPr>
        <w:t>c</w:t>
      </w:r>
      <w:r>
        <w:rPr>
          <w:lang w:eastAsia="zh-CN"/>
        </w:rPr>
        <w:t>TnC</w:t>
      </w:r>
    </w:p>
    <w:p w14:paraId="02863AE7" w14:textId="5E0E3B5B" w:rsidR="007959E3" w:rsidRDefault="007959E3" w:rsidP="007959E3">
      <w:pPr>
        <w:pStyle w:val="MDPI51figurecaption"/>
        <w:ind w:left="0"/>
        <w:rPr>
          <w:snapToGrid w:val="0"/>
          <w:szCs w:val="22"/>
        </w:rPr>
      </w:pPr>
      <w:r>
        <w:t xml:space="preserve">Figure </w:t>
      </w:r>
      <w:r w:rsidRPr="005078FD">
        <w:rPr>
          <w:color w:val="000000" w:themeColor="text1"/>
        </w:rPr>
        <w:t>S</w:t>
      </w:r>
      <w:r w:rsidR="007E0D74" w:rsidRPr="007E0D74">
        <w:rPr>
          <w:color w:val="000000" w:themeColor="text1"/>
        </w:rPr>
        <w:t>4</w:t>
      </w:r>
      <w:r>
        <w:t xml:space="preserve">. MALDI-TOF-MS of rec. cTnI, cTnT, and </w:t>
      </w:r>
      <w:r w:rsidR="00BA22A8">
        <w:t>c</w:t>
      </w:r>
      <w:r>
        <w:t xml:space="preserve">TnC expressed in </w:t>
      </w:r>
      <w:r w:rsidRPr="001516A8">
        <w:rPr>
          <w:i/>
          <w:iCs/>
        </w:rPr>
        <w:t>E. coli</w:t>
      </w:r>
      <w:r>
        <w:t xml:space="preserve"> and their expected mass: 24.4 kDa for cTnI</w:t>
      </w:r>
      <w:r w:rsidR="00EB1D43">
        <w:t>,</w:t>
      </w:r>
      <w:r>
        <w:t xml:space="preserve"> 35.9 kDa for cTnT</w:t>
      </w:r>
      <w:r w:rsidR="00EB1D43">
        <w:t>,</w:t>
      </w:r>
      <w:r>
        <w:t xml:space="preserve"> and 18.6 kDa for </w:t>
      </w:r>
      <w:proofErr w:type="spellStart"/>
      <w:r>
        <w:t>TnC</w:t>
      </w:r>
      <w:proofErr w:type="spellEnd"/>
      <w:r>
        <w:t>.</w:t>
      </w:r>
      <w:r>
        <w:br w:type="page"/>
      </w:r>
    </w:p>
    <w:p w14:paraId="42C7C5A2" w14:textId="3714A4B2" w:rsidR="007B683B" w:rsidRDefault="00451BAD" w:rsidP="00AA4194">
      <w:pPr>
        <w:pStyle w:val="MDPI21heading1"/>
        <w:ind w:left="0"/>
        <w:rPr>
          <w:lang w:eastAsia="zh-CN"/>
        </w:rPr>
      </w:pPr>
      <w:r w:rsidRPr="00451BAD">
        <w:rPr>
          <w:lang w:eastAsia="zh-CN"/>
        </w:rPr>
        <w:lastRenderedPageBreak/>
        <w:t>Preparation of the affinity column</w:t>
      </w:r>
    </w:p>
    <w:p w14:paraId="3FC9E25B" w14:textId="77777777" w:rsidR="00EC3516" w:rsidRDefault="00EC3516" w:rsidP="00451BAD">
      <w:pPr>
        <w:pStyle w:val="MDPI31text"/>
        <w:ind w:left="0" w:firstLine="0"/>
      </w:pPr>
    </w:p>
    <w:p w14:paraId="04F5B7B0" w14:textId="149F5699" w:rsidR="007B683B" w:rsidRDefault="00164CB0" w:rsidP="00451BAD">
      <w:pPr>
        <w:pStyle w:val="MDPI31text"/>
        <w:ind w:left="0" w:firstLine="0"/>
      </w:pPr>
      <w:r w:rsidRPr="00164CB0">
        <w:t>For the column functionalization, the raw columns were treated as described in Table S1.</w:t>
      </w:r>
      <w:r w:rsidR="00FB74CB">
        <w:t xml:space="preserve"> </w:t>
      </w:r>
      <w:r w:rsidR="00FB74CB" w:rsidRPr="00FB74CB">
        <w:t>After the affinity coating, the column was stored under 80 % ethanol at 4°C and remained stable for several months.</w:t>
      </w:r>
    </w:p>
    <w:p w14:paraId="171B05CC" w14:textId="77777777" w:rsidR="00164CB0" w:rsidRDefault="00164CB0" w:rsidP="00451BAD">
      <w:pPr>
        <w:pStyle w:val="MDPI31text"/>
        <w:ind w:left="0" w:firstLine="0"/>
      </w:pPr>
    </w:p>
    <w:p w14:paraId="35886DC4" w14:textId="611F8963" w:rsidR="00164CB0" w:rsidRPr="007E0D74" w:rsidRDefault="00164CB0" w:rsidP="00164CB0">
      <w:pPr>
        <w:pStyle w:val="Beschriftung"/>
        <w:keepNext/>
        <w:rPr>
          <w:color w:val="000000" w:themeColor="text1"/>
        </w:rPr>
      </w:pPr>
      <w:r w:rsidRPr="00DE006A">
        <w:rPr>
          <w:b/>
          <w:bCs/>
          <w:color w:val="000000" w:themeColor="text1"/>
        </w:rPr>
        <w:t>Table S</w:t>
      </w:r>
      <w:r w:rsidRPr="00DE006A">
        <w:rPr>
          <w:b/>
          <w:bCs/>
          <w:color w:val="000000" w:themeColor="text1"/>
        </w:rPr>
        <w:fldChar w:fldCharType="begin"/>
      </w:r>
      <w:r w:rsidRPr="00DE006A">
        <w:rPr>
          <w:b/>
          <w:bCs/>
          <w:color w:val="000000" w:themeColor="text1"/>
        </w:rPr>
        <w:instrText xml:space="preserve"> SEQ Table \* ARABIC </w:instrText>
      </w:r>
      <w:r w:rsidRPr="00DE006A">
        <w:rPr>
          <w:b/>
          <w:bCs/>
          <w:color w:val="000000" w:themeColor="text1"/>
        </w:rPr>
        <w:fldChar w:fldCharType="separate"/>
      </w:r>
      <w:r w:rsidRPr="00DE006A">
        <w:rPr>
          <w:b/>
          <w:bCs/>
          <w:color w:val="000000" w:themeColor="text1"/>
        </w:rPr>
        <w:t>1</w:t>
      </w:r>
      <w:r w:rsidRPr="00DE006A">
        <w:rPr>
          <w:b/>
          <w:bCs/>
          <w:color w:val="000000" w:themeColor="text1"/>
        </w:rPr>
        <w:fldChar w:fldCharType="end"/>
      </w:r>
      <w:r w:rsidRPr="007E0D74">
        <w:rPr>
          <w:color w:val="000000" w:themeColor="text1"/>
        </w:rPr>
        <w:t>. Preparation of the BSA-Peptide</w:t>
      </w:r>
      <w:r w:rsidR="005515C3">
        <w:rPr>
          <w:color w:val="000000" w:themeColor="text1"/>
        </w:rPr>
        <w:t>-</w:t>
      </w:r>
      <w:r w:rsidRPr="007E0D74">
        <w:rPr>
          <w:color w:val="000000" w:themeColor="text1"/>
        </w:rPr>
        <w:t>188-199 column.</w:t>
      </w:r>
    </w:p>
    <w:tbl>
      <w:tblPr>
        <w:tblW w:w="0" w:type="auto"/>
        <w:tblBorders>
          <w:top w:val="single" w:sz="4" w:space="0" w:color="A3A3A3"/>
          <w:left w:val="single" w:sz="4" w:space="0" w:color="A3A3A3"/>
          <w:bottom w:val="single" w:sz="4" w:space="0" w:color="A3A3A3"/>
          <w:right w:val="single" w:sz="4" w:space="0" w:color="A3A3A3"/>
          <w:insideH w:val="single" w:sz="4" w:space="0" w:color="A3A3A3"/>
          <w:insideV w:val="single" w:sz="4" w:space="0" w:color="A3A3A3"/>
        </w:tblBorders>
        <w:tblLayout w:type="fixed"/>
        <w:tblCellMar>
          <w:left w:w="0" w:type="dxa"/>
          <w:right w:w="0" w:type="dxa"/>
        </w:tblCellMar>
        <w:tblLook w:val="04A0" w:firstRow="1" w:lastRow="0" w:firstColumn="1" w:lastColumn="0" w:noHBand="0" w:noVBand="1"/>
      </w:tblPr>
      <w:tblGrid>
        <w:gridCol w:w="7361"/>
        <w:gridCol w:w="1276"/>
        <w:gridCol w:w="1809"/>
      </w:tblGrid>
      <w:tr w:rsidR="00A27997" w:rsidRPr="00A27997" w14:paraId="18A1A75D" w14:textId="77777777" w:rsidTr="00A83FFC">
        <w:trPr>
          <w:trHeight w:val="57"/>
        </w:trPr>
        <w:tc>
          <w:tcPr>
            <w:tcW w:w="7361" w:type="dxa"/>
            <w:tcMar>
              <w:top w:w="80" w:type="dxa"/>
              <w:left w:w="80" w:type="dxa"/>
              <w:bottom w:w="80" w:type="dxa"/>
              <w:right w:w="80" w:type="dxa"/>
            </w:tcMar>
            <w:hideMark/>
          </w:tcPr>
          <w:p w14:paraId="3382178D" w14:textId="77777777" w:rsidR="00A27997" w:rsidRPr="00A27997" w:rsidRDefault="00A27997" w:rsidP="0053783D">
            <w:pPr>
              <w:spacing w:line="240" w:lineRule="auto"/>
              <w:rPr>
                <w:rFonts w:eastAsia="Times New Roman" w:cs="Calibri"/>
                <w:b/>
                <w:bCs/>
                <w:sz w:val="18"/>
                <w:szCs w:val="18"/>
                <w:lang w:eastAsia="de-DE"/>
              </w:rPr>
            </w:pPr>
            <w:r w:rsidRPr="00A27997">
              <w:rPr>
                <w:rFonts w:eastAsia="Times New Roman" w:cs="Calibri"/>
                <w:b/>
                <w:bCs/>
                <w:sz w:val="18"/>
                <w:szCs w:val="18"/>
                <w:lang w:eastAsia="de-DE"/>
              </w:rPr>
              <w:t>Reagent</w:t>
            </w:r>
          </w:p>
        </w:tc>
        <w:tc>
          <w:tcPr>
            <w:tcW w:w="1276" w:type="dxa"/>
            <w:tcMar>
              <w:top w:w="80" w:type="dxa"/>
              <w:left w:w="80" w:type="dxa"/>
              <w:bottom w:w="80" w:type="dxa"/>
              <w:right w:w="80" w:type="dxa"/>
            </w:tcMar>
            <w:hideMark/>
          </w:tcPr>
          <w:p w14:paraId="23B1F90D" w14:textId="60A2F599" w:rsidR="00A27997" w:rsidRPr="00A27997" w:rsidRDefault="00A27997" w:rsidP="00A27997">
            <w:pPr>
              <w:spacing w:line="240" w:lineRule="auto"/>
              <w:jc w:val="center"/>
              <w:rPr>
                <w:rFonts w:eastAsia="Times New Roman" w:cs="Calibri"/>
                <w:sz w:val="18"/>
                <w:szCs w:val="18"/>
                <w:lang w:eastAsia="de-DE"/>
              </w:rPr>
            </w:pPr>
            <w:r w:rsidRPr="00A27997">
              <w:rPr>
                <w:rFonts w:eastAsia="Times New Roman" w:cs="Calibri"/>
                <w:b/>
                <w:bCs/>
                <w:sz w:val="18"/>
                <w:szCs w:val="18"/>
                <w:lang w:eastAsia="de-DE"/>
              </w:rPr>
              <w:t>Volume [ml]</w:t>
            </w:r>
          </w:p>
        </w:tc>
        <w:tc>
          <w:tcPr>
            <w:tcW w:w="1809" w:type="dxa"/>
            <w:tcMar>
              <w:top w:w="80" w:type="dxa"/>
              <w:left w:w="80" w:type="dxa"/>
              <w:bottom w:w="80" w:type="dxa"/>
              <w:right w:w="80" w:type="dxa"/>
            </w:tcMar>
            <w:hideMark/>
          </w:tcPr>
          <w:p w14:paraId="51A74227" w14:textId="1DB13182" w:rsidR="00A27997" w:rsidRPr="00A27997" w:rsidRDefault="00A27997" w:rsidP="00A27997">
            <w:pPr>
              <w:spacing w:line="240" w:lineRule="auto"/>
              <w:jc w:val="center"/>
              <w:rPr>
                <w:rFonts w:eastAsia="Times New Roman" w:cs="Calibri"/>
                <w:sz w:val="18"/>
                <w:szCs w:val="18"/>
                <w:lang w:eastAsia="de-DE"/>
              </w:rPr>
            </w:pPr>
            <w:r w:rsidRPr="00A27997">
              <w:rPr>
                <w:rFonts w:eastAsia="Times New Roman" w:cs="Calibri"/>
                <w:b/>
                <w:bCs/>
                <w:sz w:val="18"/>
                <w:szCs w:val="18"/>
                <w:lang w:eastAsia="de-DE"/>
              </w:rPr>
              <w:t>Flow rate [mL/min]</w:t>
            </w:r>
          </w:p>
        </w:tc>
      </w:tr>
      <w:tr w:rsidR="00A27997" w:rsidRPr="00A27997" w14:paraId="5ED26174" w14:textId="77777777" w:rsidTr="00A83FFC">
        <w:trPr>
          <w:trHeight w:val="57"/>
        </w:trPr>
        <w:tc>
          <w:tcPr>
            <w:tcW w:w="7361" w:type="dxa"/>
            <w:tcMar>
              <w:top w:w="80" w:type="dxa"/>
              <w:left w:w="80" w:type="dxa"/>
              <w:bottom w:w="80" w:type="dxa"/>
              <w:right w:w="80" w:type="dxa"/>
            </w:tcMar>
            <w:hideMark/>
          </w:tcPr>
          <w:p w14:paraId="0C9E626C" w14:textId="40D63A51" w:rsidR="00A27997" w:rsidRPr="00A27997" w:rsidRDefault="00A27997" w:rsidP="00A27997">
            <w:pPr>
              <w:spacing w:line="240" w:lineRule="auto"/>
              <w:jc w:val="left"/>
              <w:rPr>
                <w:rFonts w:eastAsia="Times New Roman" w:cs="Calibri"/>
                <w:sz w:val="18"/>
                <w:szCs w:val="18"/>
                <w:lang w:eastAsia="de-DE"/>
              </w:rPr>
            </w:pPr>
            <w:r>
              <w:rPr>
                <w:rFonts w:eastAsia="Times New Roman" w:cs="Calibri"/>
                <w:sz w:val="18"/>
                <w:szCs w:val="18"/>
                <w:lang w:eastAsia="de-DE"/>
              </w:rPr>
              <w:t>Ultra-pure</w:t>
            </w:r>
            <w:r w:rsidRPr="00A27997">
              <w:rPr>
                <w:rFonts w:eastAsia="Times New Roman" w:cs="Calibri"/>
                <w:sz w:val="18"/>
                <w:szCs w:val="18"/>
                <w:lang w:eastAsia="de-DE"/>
              </w:rPr>
              <w:t xml:space="preserve"> water</w:t>
            </w:r>
          </w:p>
        </w:tc>
        <w:tc>
          <w:tcPr>
            <w:tcW w:w="1276" w:type="dxa"/>
            <w:tcMar>
              <w:top w:w="80" w:type="dxa"/>
              <w:left w:w="80" w:type="dxa"/>
              <w:bottom w:w="80" w:type="dxa"/>
              <w:right w:w="80" w:type="dxa"/>
            </w:tcMar>
            <w:hideMark/>
          </w:tcPr>
          <w:p w14:paraId="33326F39" w14:textId="77777777" w:rsidR="00A27997" w:rsidRPr="00A27997" w:rsidRDefault="00A27997" w:rsidP="00A27997">
            <w:pPr>
              <w:spacing w:line="240" w:lineRule="auto"/>
              <w:jc w:val="center"/>
              <w:rPr>
                <w:rFonts w:eastAsia="Times New Roman" w:cs="Calibri"/>
                <w:sz w:val="18"/>
                <w:szCs w:val="18"/>
                <w:lang w:eastAsia="de-DE"/>
              </w:rPr>
            </w:pPr>
            <w:r w:rsidRPr="00A27997">
              <w:rPr>
                <w:rFonts w:eastAsia="Times New Roman" w:cs="Calibri"/>
                <w:sz w:val="18"/>
                <w:szCs w:val="18"/>
                <w:lang w:eastAsia="de-DE"/>
              </w:rPr>
              <w:t>10</w:t>
            </w:r>
          </w:p>
        </w:tc>
        <w:tc>
          <w:tcPr>
            <w:tcW w:w="1809" w:type="dxa"/>
            <w:tcMar>
              <w:top w:w="80" w:type="dxa"/>
              <w:left w:w="80" w:type="dxa"/>
              <w:bottom w:w="80" w:type="dxa"/>
              <w:right w:w="80" w:type="dxa"/>
            </w:tcMar>
            <w:hideMark/>
          </w:tcPr>
          <w:p w14:paraId="30E1BB12" w14:textId="77777777" w:rsidR="00A27997" w:rsidRPr="00A27997" w:rsidRDefault="00A27997" w:rsidP="00A27997">
            <w:pPr>
              <w:spacing w:line="240" w:lineRule="auto"/>
              <w:jc w:val="center"/>
              <w:rPr>
                <w:rFonts w:eastAsia="Times New Roman" w:cs="Calibri"/>
                <w:sz w:val="18"/>
                <w:szCs w:val="18"/>
                <w:lang w:eastAsia="de-DE"/>
              </w:rPr>
            </w:pPr>
            <w:r w:rsidRPr="00A27997">
              <w:rPr>
                <w:rFonts w:eastAsia="Times New Roman" w:cs="Calibri"/>
                <w:sz w:val="18"/>
                <w:szCs w:val="18"/>
                <w:lang w:eastAsia="de-DE"/>
              </w:rPr>
              <w:t>1</w:t>
            </w:r>
          </w:p>
        </w:tc>
      </w:tr>
      <w:tr w:rsidR="00A27997" w:rsidRPr="00A27997" w14:paraId="790BFA37" w14:textId="77777777" w:rsidTr="00A83FFC">
        <w:trPr>
          <w:trHeight w:val="57"/>
        </w:trPr>
        <w:tc>
          <w:tcPr>
            <w:tcW w:w="7361" w:type="dxa"/>
            <w:tcMar>
              <w:top w:w="80" w:type="dxa"/>
              <w:left w:w="80" w:type="dxa"/>
              <w:bottom w:w="80" w:type="dxa"/>
              <w:right w:w="80" w:type="dxa"/>
            </w:tcMar>
            <w:hideMark/>
          </w:tcPr>
          <w:p w14:paraId="47F176A8" w14:textId="77777777" w:rsidR="00A27997" w:rsidRPr="00A27997" w:rsidRDefault="00A27997" w:rsidP="00A27997">
            <w:pPr>
              <w:spacing w:line="240" w:lineRule="auto"/>
              <w:jc w:val="left"/>
              <w:rPr>
                <w:rFonts w:eastAsia="Times New Roman" w:cs="Calibri"/>
                <w:sz w:val="18"/>
                <w:szCs w:val="18"/>
                <w:lang w:eastAsia="de-DE"/>
              </w:rPr>
            </w:pPr>
            <w:r w:rsidRPr="00A27997">
              <w:rPr>
                <w:rFonts w:eastAsia="Times New Roman" w:cs="Calibri"/>
                <w:sz w:val="18"/>
                <w:szCs w:val="18"/>
                <w:lang w:eastAsia="de-DE"/>
              </w:rPr>
              <w:t>10% Mucasol</w:t>
            </w:r>
          </w:p>
        </w:tc>
        <w:tc>
          <w:tcPr>
            <w:tcW w:w="1276" w:type="dxa"/>
            <w:tcMar>
              <w:top w:w="80" w:type="dxa"/>
              <w:left w:w="80" w:type="dxa"/>
              <w:bottom w:w="80" w:type="dxa"/>
              <w:right w:w="80" w:type="dxa"/>
            </w:tcMar>
            <w:hideMark/>
          </w:tcPr>
          <w:p w14:paraId="1561EADE" w14:textId="77777777" w:rsidR="00A27997" w:rsidRPr="00A27997" w:rsidRDefault="00A27997" w:rsidP="00A27997">
            <w:pPr>
              <w:spacing w:line="240" w:lineRule="auto"/>
              <w:jc w:val="center"/>
              <w:rPr>
                <w:rFonts w:eastAsia="Times New Roman" w:cs="Calibri"/>
                <w:sz w:val="18"/>
                <w:szCs w:val="18"/>
                <w:lang w:eastAsia="de-DE"/>
              </w:rPr>
            </w:pPr>
            <w:r w:rsidRPr="00A27997">
              <w:rPr>
                <w:rFonts w:eastAsia="Times New Roman" w:cs="Calibri"/>
                <w:sz w:val="18"/>
                <w:szCs w:val="18"/>
                <w:lang w:eastAsia="de-DE"/>
              </w:rPr>
              <w:t>10</w:t>
            </w:r>
          </w:p>
        </w:tc>
        <w:tc>
          <w:tcPr>
            <w:tcW w:w="1809" w:type="dxa"/>
            <w:tcMar>
              <w:top w:w="80" w:type="dxa"/>
              <w:left w:w="80" w:type="dxa"/>
              <w:bottom w:w="80" w:type="dxa"/>
              <w:right w:w="80" w:type="dxa"/>
            </w:tcMar>
            <w:hideMark/>
          </w:tcPr>
          <w:p w14:paraId="687C0656" w14:textId="77777777" w:rsidR="00A27997" w:rsidRPr="00A27997" w:rsidRDefault="00A27997" w:rsidP="00A27997">
            <w:pPr>
              <w:spacing w:line="240" w:lineRule="auto"/>
              <w:jc w:val="center"/>
              <w:rPr>
                <w:rFonts w:eastAsia="Times New Roman" w:cs="Calibri"/>
                <w:sz w:val="18"/>
                <w:szCs w:val="18"/>
                <w:lang w:eastAsia="de-DE"/>
              </w:rPr>
            </w:pPr>
            <w:r w:rsidRPr="00A27997">
              <w:rPr>
                <w:rFonts w:eastAsia="Times New Roman" w:cs="Calibri"/>
                <w:sz w:val="18"/>
                <w:szCs w:val="18"/>
                <w:lang w:eastAsia="de-DE"/>
              </w:rPr>
              <w:t>1</w:t>
            </w:r>
          </w:p>
        </w:tc>
      </w:tr>
      <w:tr w:rsidR="00A27997" w:rsidRPr="00A27997" w14:paraId="5EAE9E87" w14:textId="77777777" w:rsidTr="00A83FFC">
        <w:trPr>
          <w:trHeight w:val="57"/>
        </w:trPr>
        <w:tc>
          <w:tcPr>
            <w:tcW w:w="7361" w:type="dxa"/>
            <w:tcMar>
              <w:top w:w="80" w:type="dxa"/>
              <w:left w:w="80" w:type="dxa"/>
              <w:bottom w:w="80" w:type="dxa"/>
              <w:right w:w="80" w:type="dxa"/>
            </w:tcMar>
            <w:hideMark/>
          </w:tcPr>
          <w:p w14:paraId="5B8AFC2D" w14:textId="3671D371" w:rsidR="00A27997" w:rsidRPr="00A27997" w:rsidRDefault="001B6220" w:rsidP="00A27997">
            <w:pPr>
              <w:spacing w:line="240" w:lineRule="auto"/>
              <w:jc w:val="left"/>
              <w:rPr>
                <w:rFonts w:eastAsia="Times New Roman" w:cs="Calibri"/>
                <w:sz w:val="18"/>
                <w:szCs w:val="18"/>
                <w:lang w:eastAsia="de-DE"/>
              </w:rPr>
            </w:pPr>
            <w:r>
              <w:rPr>
                <w:rFonts w:eastAsia="Times New Roman" w:cs="Calibri"/>
                <w:sz w:val="18"/>
                <w:szCs w:val="18"/>
                <w:lang w:eastAsia="de-DE"/>
              </w:rPr>
              <w:t>Ultra-pure</w:t>
            </w:r>
            <w:r w:rsidR="00A27997" w:rsidRPr="00A27997">
              <w:rPr>
                <w:rFonts w:eastAsia="Times New Roman" w:cs="Calibri"/>
                <w:sz w:val="18"/>
                <w:szCs w:val="18"/>
                <w:lang w:eastAsia="de-DE"/>
              </w:rPr>
              <w:t xml:space="preserve"> water</w:t>
            </w:r>
          </w:p>
        </w:tc>
        <w:tc>
          <w:tcPr>
            <w:tcW w:w="1276" w:type="dxa"/>
            <w:tcMar>
              <w:top w:w="80" w:type="dxa"/>
              <w:left w:w="80" w:type="dxa"/>
              <w:bottom w:w="80" w:type="dxa"/>
              <w:right w:w="80" w:type="dxa"/>
            </w:tcMar>
            <w:hideMark/>
          </w:tcPr>
          <w:p w14:paraId="7DF92F46" w14:textId="77777777" w:rsidR="00A27997" w:rsidRPr="00A27997" w:rsidRDefault="00A27997" w:rsidP="00A27997">
            <w:pPr>
              <w:spacing w:line="240" w:lineRule="auto"/>
              <w:jc w:val="center"/>
              <w:rPr>
                <w:rFonts w:eastAsia="Times New Roman" w:cs="Calibri"/>
                <w:sz w:val="18"/>
                <w:szCs w:val="18"/>
                <w:lang w:eastAsia="de-DE"/>
              </w:rPr>
            </w:pPr>
            <w:r w:rsidRPr="00A27997">
              <w:rPr>
                <w:rFonts w:eastAsia="Times New Roman" w:cs="Calibri"/>
                <w:sz w:val="18"/>
                <w:szCs w:val="18"/>
                <w:lang w:eastAsia="de-DE"/>
              </w:rPr>
              <w:t>10</w:t>
            </w:r>
          </w:p>
        </w:tc>
        <w:tc>
          <w:tcPr>
            <w:tcW w:w="1809" w:type="dxa"/>
            <w:tcMar>
              <w:top w:w="80" w:type="dxa"/>
              <w:left w:w="80" w:type="dxa"/>
              <w:bottom w:w="80" w:type="dxa"/>
              <w:right w:w="80" w:type="dxa"/>
            </w:tcMar>
            <w:hideMark/>
          </w:tcPr>
          <w:p w14:paraId="5B9783F8" w14:textId="77777777" w:rsidR="00A27997" w:rsidRPr="00A27997" w:rsidRDefault="00A27997" w:rsidP="00A27997">
            <w:pPr>
              <w:spacing w:line="240" w:lineRule="auto"/>
              <w:jc w:val="center"/>
              <w:rPr>
                <w:rFonts w:eastAsia="Times New Roman" w:cs="Calibri"/>
                <w:sz w:val="18"/>
                <w:szCs w:val="18"/>
                <w:lang w:eastAsia="de-DE"/>
              </w:rPr>
            </w:pPr>
            <w:r w:rsidRPr="00A27997">
              <w:rPr>
                <w:rFonts w:eastAsia="Times New Roman" w:cs="Calibri"/>
                <w:sz w:val="18"/>
                <w:szCs w:val="18"/>
                <w:lang w:eastAsia="de-DE"/>
              </w:rPr>
              <w:t>1</w:t>
            </w:r>
          </w:p>
        </w:tc>
      </w:tr>
      <w:tr w:rsidR="00A27997" w:rsidRPr="00A27997" w14:paraId="28C23667" w14:textId="77777777" w:rsidTr="00A83FFC">
        <w:trPr>
          <w:trHeight w:val="57"/>
        </w:trPr>
        <w:tc>
          <w:tcPr>
            <w:tcW w:w="7361" w:type="dxa"/>
            <w:tcMar>
              <w:top w:w="80" w:type="dxa"/>
              <w:left w:w="80" w:type="dxa"/>
              <w:bottom w:w="80" w:type="dxa"/>
              <w:right w:w="80" w:type="dxa"/>
            </w:tcMar>
            <w:hideMark/>
          </w:tcPr>
          <w:p w14:paraId="6C048E49" w14:textId="3C720819" w:rsidR="00A27997" w:rsidRPr="00A27997" w:rsidRDefault="00A27997" w:rsidP="00A27997">
            <w:pPr>
              <w:spacing w:line="240" w:lineRule="auto"/>
              <w:jc w:val="left"/>
              <w:rPr>
                <w:rFonts w:eastAsia="Times New Roman" w:cs="Calibri"/>
                <w:sz w:val="18"/>
                <w:szCs w:val="18"/>
                <w:lang w:eastAsia="de-DE"/>
              </w:rPr>
            </w:pPr>
            <w:r w:rsidRPr="00A27997">
              <w:rPr>
                <w:rFonts w:eastAsia="Times New Roman" w:cs="Calibri"/>
                <w:sz w:val="18"/>
                <w:szCs w:val="18"/>
                <w:lang w:eastAsia="de-DE"/>
              </w:rPr>
              <w:t>KOH 10 wt. %</w:t>
            </w:r>
          </w:p>
        </w:tc>
        <w:tc>
          <w:tcPr>
            <w:tcW w:w="1276" w:type="dxa"/>
            <w:tcMar>
              <w:top w:w="80" w:type="dxa"/>
              <w:left w:w="80" w:type="dxa"/>
              <w:bottom w:w="80" w:type="dxa"/>
              <w:right w:w="80" w:type="dxa"/>
            </w:tcMar>
            <w:hideMark/>
          </w:tcPr>
          <w:p w14:paraId="05D38048" w14:textId="77777777" w:rsidR="00A27997" w:rsidRPr="00A27997" w:rsidRDefault="00A27997" w:rsidP="00A27997">
            <w:pPr>
              <w:spacing w:line="240" w:lineRule="auto"/>
              <w:jc w:val="center"/>
              <w:rPr>
                <w:rFonts w:eastAsia="Times New Roman" w:cs="Calibri"/>
                <w:sz w:val="18"/>
                <w:szCs w:val="18"/>
                <w:lang w:eastAsia="de-DE"/>
              </w:rPr>
            </w:pPr>
            <w:r w:rsidRPr="00A27997">
              <w:rPr>
                <w:rFonts w:eastAsia="Times New Roman" w:cs="Calibri"/>
                <w:sz w:val="18"/>
                <w:szCs w:val="18"/>
                <w:lang w:eastAsia="de-DE"/>
              </w:rPr>
              <w:t>10</w:t>
            </w:r>
          </w:p>
        </w:tc>
        <w:tc>
          <w:tcPr>
            <w:tcW w:w="1809" w:type="dxa"/>
            <w:tcMar>
              <w:top w:w="80" w:type="dxa"/>
              <w:left w:w="80" w:type="dxa"/>
              <w:bottom w:w="80" w:type="dxa"/>
              <w:right w:w="80" w:type="dxa"/>
            </w:tcMar>
            <w:hideMark/>
          </w:tcPr>
          <w:p w14:paraId="1DED0414" w14:textId="77777777" w:rsidR="00A27997" w:rsidRPr="00A27997" w:rsidRDefault="00A27997" w:rsidP="00A27997">
            <w:pPr>
              <w:spacing w:line="240" w:lineRule="auto"/>
              <w:jc w:val="center"/>
              <w:rPr>
                <w:rFonts w:eastAsia="Times New Roman" w:cs="Calibri"/>
                <w:sz w:val="18"/>
                <w:szCs w:val="18"/>
                <w:lang w:eastAsia="de-DE"/>
              </w:rPr>
            </w:pPr>
            <w:r w:rsidRPr="00A27997">
              <w:rPr>
                <w:rFonts w:eastAsia="Times New Roman" w:cs="Calibri"/>
                <w:sz w:val="18"/>
                <w:szCs w:val="18"/>
                <w:lang w:eastAsia="de-DE"/>
              </w:rPr>
              <w:t>1</w:t>
            </w:r>
          </w:p>
        </w:tc>
      </w:tr>
      <w:tr w:rsidR="00A27997" w:rsidRPr="00A27997" w14:paraId="747C35EF" w14:textId="77777777" w:rsidTr="00A83FFC">
        <w:trPr>
          <w:trHeight w:val="57"/>
        </w:trPr>
        <w:tc>
          <w:tcPr>
            <w:tcW w:w="7361" w:type="dxa"/>
            <w:tcMar>
              <w:top w:w="80" w:type="dxa"/>
              <w:left w:w="80" w:type="dxa"/>
              <w:bottom w:w="80" w:type="dxa"/>
              <w:right w:w="80" w:type="dxa"/>
            </w:tcMar>
            <w:hideMark/>
          </w:tcPr>
          <w:p w14:paraId="3DADDDAB" w14:textId="0E98C934" w:rsidR="00A27997" w:rsidRPr="00A27997" w:rsidRDefault="008C647A" w:rsidP="00A27997">
            <w:pPr>
              <w:spacing w:line="240" w:lineRule="auto"/>
              <w:jc w:val="left"/>
              <w:rPr>
                <w:rFonts w:eastAsia="Times New Roman" w:cs="Calibri"/>
                <w:sz w:val="18"/>
                <w:szCs w:val="18"/>
                <w:lang w:eastAsia="de-DE"/>
              </w:rPr>
            </w:pPr>
            <w:r>
              <w:rPr>
                <w:rFonts w:eastAsia="Times New Roman" w:cs="Calibri"/>
                <w:sz w:val="18"/>
                <w:szCs w:val="18"/>
                <w:lang w:eastAsia="de-DE"/>
              </w:rPr>
              <w:t>Ultra-pure</w:t>
            </w:r>
            <w:r w:rsidRPr="00A27997">
              <w:rPr>
                <w:rFonts w:eastAsia="Times New Roman" w:cs="Calibri"/>
                <w:sz w:val="18"/>
                <w:szCs w:val="18"/>
                <w:lang w:eastAsia="de-DE"/>
              </w:rPr>
              <w:t xml:space="preserve"> water</w:t>
            </w:r>
          </w:p>
        </w:tc>
        <w:tc>
          <w:tcPr>
            <w:tcW w:w="1276" w:type="dxa"/>
            <w:tcMar>
              <w:top w:w="80" w:type="dxa"/>
              <w:left w:w="80" w:type="dxa"/>
              <w:bottom w:w="80" w:type="dxa"/>
              <w:right w:w="80" w:type="dxa"/>
            </w:tcMar>
            <w:hideMark/>
          </w:tcPr>
          <w:p w14:paraId="521DB134" w14:textId="77777777" w:rsidR="00A27997" w:rsidRPr="00A27997" w:rsidRDefault="00A27997" w:rsidP="00A27997">
            <w:pPr>
              <w:spacing w:line="240" w:lineRule="auto"/>
              <w:jc w:val="center"/>
              <w:rPr>
                <w:rFonts w:eastAsia="Times New Roman" w:cs="Calibri"/>
                <w:sz w:val="18"/>
                <w:szCs w:val="18"/>
                <w:lang w:eastAsia="de-DE"/>
              </w:rPr>
            </w:pPr>
            <w:r w:rsidRPr="00A27997">
              <w:rPr>
                <w:rFonts w:eastAsia="Times New Roman" w:cs="Calibri"/>
                <w:sz w:val="18"/>
                <w:szCs w:val="18"/>
                <w:lang w:eastAsia="de-DE"/>
              </w:rPr>
              <w:t>20</w:t>
            </w:r>
          </w:p>
        </w:tc>
        <w:tc>
          <w:tcPr>
            <w:tcW w:w="1809" w:type="dxa"/>
            <w:tcMar>
              <w:top w:w="80" w:type="dxa"/>
              <w:left w:w="80" w:type="dxa"/>
              <w:bottom w:w="80" w:type="dxa"/>
              <w:right w:w="80" w:type="dxa"/>
            </w:tcMar>
            <w:hideMark/>
          </w:tcPr>
          <w:p w14:paraId="5823E7B0" w14:textId="77777777" w:rsidR="00A27997" w:rsidRPr="00A27997" w:rsidRDefault="00A27997" w:rsidP="00A27997">
            <w:pPr>
              <w:spacing w:line="240" w:lineRule="auto"/>
              <w:jc w:val="center"/>
              <w:rPr>
                <w:rFonts w:eastAsia="Times New Roman" w:cs="Calibri"/>
                <w:sz w:val="18"/>
                <w:szCs w:val="18"/>
                <w:lang w:eastAsia="de-DE"/>
              </w:rPr>
            </w:pPr>
            <w:r w:rsidRPr="00A27997">
              <w:rPr>
                <w:rFonts w:eastAsia="Times New Roman" w:cs="Calibri"/>
                <w:sz w:val="18"/>
                <w:szCs w:val="18"/>
                <w:lang w:eastAsia="de-DE"/>
              </w:rPr>
              <w:t>1</w:t>
            </w:r>
          </w:p>
        </w:tc>
      </w:tr>
      <w:tr w:rsidR="00A27997" w:rsidRPr="00A27997" w14:paraId="2D0177B4" w14:textId="77777777" w:rsidTr="00A83FFC">
        <w:trPr>
          <w:trHeight w:val="57"/>
        </w:trPr>
        <w:tc>
          <w:tcPr>
            <w:tcW w:w="7361" w:type="dxa"/>
            <w:tcMar>
              <w:top w:w="80" w:type="dxa"/>
              <w:left w:w="80" w:type="dxa"/>
              <w:bottom w:w="80" w:type="dxa"/>
              <w:right w:w="80" w:type="dxa"/>
            </w:tcMar>
            <w:hideMark/>
          </w:tcPr>
          <w:p w14:paraId="5C2DFA59" w14:textId="77777777" w:rsidR="00A27997" w:rsidRPr="00A27997" w:rsidRDefault="00A27997" w:rsidP="00A27997">
            <w:pPr>
              <w:spacing w:line="240" w:lineRule="auto"/>
              <w:jc w:val="left"/>
              <w:rPr>
                <w:rFonts w:eastAsia="Times New Roman" w:cs="Calibri"/>
                <w:sz w:val="18"/>
                <w:szCs w:val="18"/>
                <w:lang w:eastAsia="de-DE"/>
              </w:rPr>
            </w:pPr>
            <w:r w:rsidRPr="00A27997">
              <w:rPr>
                <w:rFonts w:eastAsia="Times New Roman" w:cs="Calibri"/>
                <w:sz w:val="18"/>
                <w:szCs w:val="18"/>
                <w:lang w:eastAsia="de-DE"/>
              </w:rPr>
              <w:t>EtOH</w:t>
            </w:r>
          </w:p>
        </w:tc>
        <w:tc>
          <w:tcPr>
            <w:tcW w:w="1276" w:type="dxa"/>
            <w:tcMar>
              <w:top w:w="80" w:type="dxa"/>
              <w:left w:w="80" w:type="dxa"/>
              <w:bottom w:w="80" w:type="dxa"/>
              <w:right w:w="80" w:type="dxa"/>
            </w:tcMar>
            <w:hideMark/>
          </w:tcPr>
          <w:p w14:paraId="6AEA1128" w14:textId="77777777" w:rsidR="00A27997" w:rsidRPr="00A27997" w:rsidRDefault="00A27997" w:rsidP="00A27997">
            <w:pPr>
              <w:spacing w:line="240" w:lineRule="auto"/>
              <w:jc w:val="center"/>
              <w:rPr>
                <w:rFonts w:eastAsia="Times New Roman" w:cs="Calibri"/>
                <w:sz w:val="18"/>
                <w:szCs w:val="18"/>
                <w:lang w:eastAsia="de-DE"/>
              </w:rPr>
            </w:pPr>
            <w:r w:rsidRPr="00A27997">
              <w:rPr>
                <w:rFonts w:eastAsia="Times New Roman" w:cs="Calibri"/>
                <w:sz w:val="18"/>
                <w:szCs w:val="18"/>
                <w:lang w:eastAsia="de-DE"/>
              </w:rPr>
              <w:t>10</w:t>
            </w:r>
          </w:p>
        </w:tc>
        <w:tc>
          <w:tcPr>
            <w:tcW w:w="1809" w:type="dxa"/>
            <w:tcMar>
              <w:top w:w="80" w:type="dxa"/>
              <w:left w:w="80" w:type="dxa"/>
              <w:bottom w:w="80" w:type="dxa"/>
              <w:right w:w="80" w:type="dxa"/>
            </w:tcMar>
            <w:hideMark/>
          </w:tcPr>
          <w:p w14:paraId="30A109CB" w14:textId="77777777" w:rsidR="00A27997" w:rsidRPr="00A27997" w:rsidRDefault="00A27997" w:rsidP="00A27997">
            <w:pPr>
              <w:spacing w:line="240" w:lineRule="auto"/>
              <w:jc w:val="center"/>
              <w:rPr>
                <w:rFonts w:eastAsia="Times New Roman" w:cs="Calibri"/>
                <w:sz w:val="18"/>
                <w:szCs w:val="18"/>
                <w:lang w:eastAsia="de-DE"/>
              </w:rPr>
            </w:pPr>
            <w:r w:rsidRPr="00A27997">
              <w:rPr>
                <w:rFonts w:eastAsia="Times New Roman" w:cs="Calibri"/>
                <w:sz w:val="18"/>
                <w:szCs w:val="18"/>
                <w:lang w:eastAsia="de-DE"/>
              </w:rPr>
              <w:t>0.5</w:t>
            </w:r>
          </w:p>
        </w:tc>
      </w:tr>
      <w:tr w:rsidR="00A27997" w:rsidRPr="00A27997" w14:paraId="24C4CC2D" w14:textId="77777777" w:rsidTr="00A83FFC">
        <w:trPr>
          <w:trHeight w:val="57"/>
        </w:trPr>
        <w:tc>
          <w:tcPr>
            <w:tcW w:w="7361" w:type="dxa"/>
            <w:tcMar>
              <w:top w:w="80" w:type="dxa"/>
              <w:left w:w="80" w:type="dxa"/>
              <w:bottom w:w="80" w:type="dxa"/>
              <w:right w:w="80" w:type="dxa"/>
            </w:tcMar>
            <w:hideMark/>
          </w:tcPr>
          <w:p w14:paraId="2C5A0EC1" w14:textId="4426B821" w:rsidR="00A27997" w:rsidRPr="00A27997" w:rsidRDefault="00A27997" w:rsidP="00A27997">
            <w:pPr>
              <w:spacing w:line="240" w:lineRule="auto"/>
              <w:jc w:val="left"/>
              <w:rPr>
                <w:rFonts w:eastAsia="Times New Roman" w:cs="Calibri"/>
                <w:sz w:val="18"/>
                <w:szCs w:val="18"/>
                <w:lang w:eastAsia="de-DE"/>
              </w:rPr>
            </w:pPr>
            <w:r w:rsidRPr="00A27997">
              <w:rPr>
                <w:rFonts w:eastAsia="Times New Roman" w:cs="Calibri"/>
                <w:sz w:val="18"/>
                <w:szCs w:val="18"/>
                <w:lang w:eastAsia="de-DE"/>
              </w:rPr>
              <w:t>10 % APTES in 99 % Et</w:t>
            </w:r>
            <w:r w:rsidR="008C647A">
              <w:rPr>
                <w:rFonts w:eastAsia="Times New Roman" w:cs="Calibri"/>
                <w:sz w:val="18"/>
                <w:szCs w:val="18"/>
                <w:lang w:eastAsia="de-DE"/>
              </w:rPr>
              <w:t>OH</w:t>
            </w:r>
          </w:p>
        </w:tc>
        <w:tc>
          <w:tcPr>
            <w:tcW w:w="1276" w:type="dxa"/>
            <w:tcMar>
              <w:top w:w="80" w:type="dxa"/>
              <w:left w:w="80" w:type="dxa"/>
              <w:bottom w:w="80" w:type="dxa"/>
              <w:right w:w="80" w:type="dxa"/>
            </w:tcMar>
            <w:hideMark/>
          </w:tcPr>
          <w:p w14:paraId="15F4DE34" w14:textId="21FFE70F" w:rsidR="00A27997" w:rsidRPr="00A27997" w:rsidRDefault="00CD35BE" w:rsidP="00A27997">
            <w:pPr>
              <w:spacing w:line="240" w:lineRule="auto"/>
              <w:jc w:val="center"/>
              <w:rPr>
                <w:rFonts w:eastAsia="Times New Roman" w:cs="Calibri"/>
                <w:sz w:val="18"/>
                <w:szCs w:val="18"/>
                <w:lang w:eastAsia="de-DE"/>
              </w:rPr>
            </w:pPr>
            <w:r>
              <w:rPr>
                <w:rFonts w:eastAsia="Times New Roman" w:cs="Calibri"/>
                <w:sz w:val="18"/>
                <w:szCs w:val="18"/>
                <w:lang w:eastAsia="de-DE"/>
              </w:rPr>
              <w:t>10</w:t>
            </w:r>
          </w:p>
        </w:tc>
        <w:tc>
          <w:tcPr>
            <w:tcW w:w="1809" w:type="dxa"/>
            <w:tcMar>
              <w:top w:w="80" w:type="dxa"/>
              <w:left w:w="80" w:type="dxa"/>
              <w:bottom w:w="80" w:type="dxa"/>
              <w:right w:w="80" w:type="dxa"/>
            </w:tcMar>
            <w:hideMark/>
          </w:tcPr>
          <w:p w14:paraId="6DFD2D6E" w14:textId="77777777" w:rsidR="00A27997" w:rsidRPr="00A27997" w:rsidRDefault="00A27997" w:rsidP="00A27997">
            <w:pPr>
              <w:spacing w:line="240" w:lineRule="auto"/>
              <w:jc w:val="center"/>
              <w:rPr>
                <w:rFonts w:eastAsia="Times New Roman" w:cs="Calibri"/>
                <w:sz w:val="18"/>
                <w:szCs w:val="18"/>
                <w:lang w:eastAsia="de-DE"/>
              </w:rPr>
            </w:pPr>
            <w:r w:rsidRPr="00A27997">
              <w:rPr>
                <w:rFonts w:eastAsia="Times New Roman" w:cs="Calibri"/>
                <w:sz w:val="18"/>
                <w:szCs w:val="18"/>
                <w:lang w:eastAsia="de-DE"/>
              </w:rPr>
              <w:t>0.1</w:t>
            </w:r>
          </w:p>
        </w:tc>
      </w:tr>
      <w:tr w:rsidR="00A27997" w:rsidRPr="00A27997" w14:paraId="32CE3919" w14:textId="77777777" w:rsidTr="00A83FFC">
        <w:trPr>
          <w:trHeight w:val="57"/>
        </w:trPr>
        <w:tc>
          <w:tcPr>
            <w:tcW w:w="7361" w:type="dxa"/>
            <w:tcMar>
              <w:top w:w="80" w:type="dxa"/>
              <w:left w:w="80" w:type="dxa"/>
              <w:bottom w:w="80" w:type="dxa"/>
              <w:right w:w="80" w:type="dxa"/>
            </w:tcMar>
            <w:hideMark/>
          </w:tcPr>
          <w:p w14:paraId="175D9F7D" w14:textId="11633F42" w:rsidR="00A27997" w:rsidRPr="00A27997" w:rsidRDefault="00A27997" w:rsidP="00A27997">
            <w:pPr>
              <w:spacing w:line="240" w:lineRule="auto"/>
              <w:jc w:val="left"/>
              <w:rPr>
                <w:rFonts w:eastAsia="Times New Roman" w:cs="Calibri"/>
                <w:sz w:val="18"/>
                <w:szCs w:val="18"/>
                <w:lang w:eastAsia="de-DE"/>
              </w:rPr>
            </w:pPr>
            <w:r w:rsidRPr="00A27997">
              <w:rPr>
                <w:rFonts w:eastAsia="Times New Roman" w:cs="Calibri"/>
                <w:sz w:val="18"/>
                <w:szCs w:val="18"/>
                <w:lang w:eastAsia="de-DE"/>
              </w:rPr>
              <w:t>99% Et</w:t>
            </w:r>
            <w:r w:rsidR="008C647A">
              <w:rPr>
                <w:rFonts w:eastAsia="Times New Roman" w:cs="Calibri"/>
                <w:sz w:val="18"/>
                <w:szCs w:val="18"/>
                <w:lang w:eastAsia="de-DE"/>
              </w:rPr>
              <w:t>OH</w:t>
            </w:r>
          </w:p>
        </w:tc>
        <w:tc>
          <w:tcPr>
            <w:tcW w:w="1276" w:type="dxa"/>
            <w:tcMar>
              <w:top w:w="80" w:type="dxa"/>
              <w:left w:w="80" w:type="dxa"/>
              <w:bottom w:w="80" w:type="dxa"/>
              <w:right w:w="80" w:type="dxa"/>
            </w:tcMar>
            <w:hideMark/>
          </w:tcPr>
          <w:p w14:paraId="7DBC29B7" w14:textId="77777777" w:rsidR="00A27997" w:rsidRPr="00A27997" w:rsidRDefault="00A27997" w:rsidP="00A27997">
            <w:pPr>
              <w:spacing w:line="240" w:lineRule="auto"/>
              <w:jc w:val="center"/>
              <w:rPr>
                <w:rFonts w:eastAsia="Times New Roman" w:cs="Calibri"/>
                <w:sz w:val="18"/>
                <w:szCs w:val="18"/>
                <w:lang w:eastAsia="de-DE"/>
              </w:rPr>
            </w:pPr>
            <w:r w:rsidRPr="00A27997">
              <w:rPr>
                <w:rFonts w:eastAsia="Times New Roman" w:cs="Calibri"/>
                <w:sz w:val="18"/>
                <w:szCs w:val="18"/>
                <w:lang w:eastAsia="de-DE"/>
              </w:rPr>
              <w:t>20</w:t>
            </w:r>
          </w:p>
        </w:tc>
        <w:tc>
          <w:tcPr>
            <w:tcW w:w="1809" w:type="dxa"/>
            <w:tcMar>
              <w:top w:w="80" w:type="dxa"/>
              <w:left w:w="80" w:type="dxa"/>
              <w:bottom w:w="80" w:type="dxa"/>
              <w:right w:w="80" w:type="dxa"/>
            </w:tcMar>
            <w:hideMark/>
          </w:tcPr>
          <w:p w14:paraId="3699513C" w14:textId="77777777" w:rsidR="00A27997" w:rsidRPr="00A27997" w:rsidRDefault="00A27997" w:rsidP="00A27997">
            <w:pPr>
              <w:spacing w:line="240" w:lineRule="auto"/>
              <w:jc w:val="center"/>
              <w:rPr>
                <w:rFonts w:eastAsia="Times New Roman" w:cs="Calibri"/>
                <w:sz w:val="18"/>
                <w:szCs w:val="18"/>
                <w:lang w:eastAsia="de-DE"/>
              </w:rPr>
            </w:pPr>
            <w:r w:rsidRPr="00A27997">
              <w:rPr>
                <w:rFonts w:eastAsia="Times New Roman" w:cs="Calibri"/>
                <w:sz w:val="18"/>
                <w:szCs w:val="18"/>
                <w:lang w:eastAsia="de-DE"/>
              </w:rPr>
              <w:t>0.5</w:t>
            </w:r>
          </w:p>
        </w:tc>
      </w:tr>
      <w:tr w:rsidR="00A27997" w:rsidRPr="00A27997" w14:paraId="49765DF2" w14:textId="77777777" w:rsidTr="00A83FFC">
        <w:trPr>
          <w:trHeight w:val="57"/>
        </w:trPr>
        <w:tc>
          <w:tcPr>
            <w:tcW w:w="7361" w:type="dxa"/>
            <w:tcMar>
              <w:top w:w="80" w:type="dxa"/>
              <w:left w:w="80" w:type="dxa"/>
              <w:bottom w:w="80" w:type="dxa"/>
              <w:right w:w="80" w:type="dxa"/>
            </w:tcMar>
            <w:hideMark/>
          </w:tcPr>
          <w:p w14:paraId="2C7146CE" w14:textId="22D4E11A" w:rsidR="00A27997" w:rsidRPr="00A27997" w:rsidRDefault="00152239" w:rsidP="00A27997">
            <w:pPr>
              <w:spacing w:line="240" w:lineRule="auto"/>
              <w:jc w:val="left"/>
              <w:rPr>
                <w:rFonts w:eastAsia="Times New Roman" w:cs="Calibri"/>
                <w:sz w:val="18"/>
                <w:szCs w:val="18"/>
                <w:lang w:eastAsia="de-DE"/>
              </w:rPr>
            </w:pPr>
            <w:r>
              <w:rPr>
                <w:rFonts w:eastAsia="Times New Roman" w:cs="Calibri"/>
                <w:sz w:val="18"/>
                <w:szCs w:val="18"/>
                <w:lang w:eastAsia="de-DE"/>
              </w:rPr>
              <w:t>Ultra-pure</w:t>
            </w:r>
            <w:r w:rsidR="00A27997" w:rsidRPr="00A27997">
              <w:rPr>
                <w:rFonts w:eastAsia="Times New Roman" w:cs="Calibri"/>
                <w:sz w:val="18"/>
                <w:szCs w:val="18"/>
                <w:lang w:eastAsia="de-DE"/>
              </w:rPr>
              <w:t xml:space="preserve"> water</w:t>
            </w:r>
          </w:p>
        </w:tc>
        <w:tc>
          <w:tcPr>
            <w:tcW w:w="1276" w:type="dxa"/>
            <w:tcMar>
              <w:top w:w="80" w:type="dxa"/>
              <w:left w:w="80" w:type="dxa"/>
              <w:bottom w:w="80" w:type="dxa"/>
              <w:right w:w="80" w:type="dxa"/>
            </w:tcMar>
            <w:hideMark/>
          </w:tcPr>
          <w:p w14:paraId="10B614B2" w14:textId="77777777" w:rsidR="00A27997" w:rsidRPr="00A27997" w:rsidRDefault="00A27997" w:rsidP="00A27997">
            <w:pPr>
              <w:spacing w:line="240" w:lineRule="auto"/>
              <w:jc w:val="center"/>
              <w:rPr>
                <w:rFonts w:eastAsia="Times New Roman" w:cs="Calibri"/>
                <w:sz w:val="18"/>
                <w:szCs w:val="18"/>
                <w:lang w:eastAsia="de-DE"/>
              </w:rPr>
            </w:pPr>
            <w:r w:rsidRPr="00A27997">
              <w:rPr>
                <w:rFonts w:eastAsia="Times New Roman" w:cs="Calibri"/>
                <w:sz w:val="18"/>
                <w:szCs w:val="18"/>
                <w:lang w:eastAsia="de-DE"/>
              </w:rPr>
              <w:t>20</w:t>
            </w:r>
          </w:p>
        </w:tc>
        <w:tc>
          <w:tcPr>
            <w:tcW w:w="1809" w:type="dxa"/>
            <w:tcMar>
              <w:top w:w="80" w:type="dxa"/>
              <w:left w:w="80" w:type="dxa"/>
              <w:bottom w:w="80" w:type="dxa"/>
              <w:right w:w="80" w:type="dxa"/>
            </w:tcMar>
            <w:hideMark/>
          </w:tcPr>
          <w:p w14:paraId="3444AB8F" w14:textId="77777777" w:rsidR="00A27997" w:rsidRPr="00A27997" w:rsidRDefault="00A27997" w:rsidP="00A27997">
            <w:pPr>
              <w:spacing w:line="240" w:lineRule="auto"/>
              <w:jc w:val="center"/>
              <w:rPr>
                <w:rFonts w:eastAsia="Times New Roman" w:cs="Calibri"/>
                <w:sz w:val="18"/>
                <w:szCs w:val="18"/>
                <w:lang w:eastAsia="de-DE"/>
              </w:rPr>
            </w:pPr>
            <w:r w:rsidRPr="00A27997">
              <w:rPr>
                <w:rFonts w:eastAsia="Times New Roman" w:cs="Calibri"/>
                <w:sz w:val="18"/>
                <w:szCs w:val="18"/>
                <w:lang w:eastAsia="de-DE"/>
              </w:rPr>
              <w:t>1</w:t>
            </w:r>
          </w:p>
        </w:tc>
      </w:tr>
      <w:tr w:rsidR="00A27997" w:rsidRPr="00A27997" w14:paraId="5D763A12" w14:textId="77777777" w:rsidTr="00A83FFC">
        <w:trPr>
          <w:trHeight w:val="57"/>
        </w:trPr>
        <w:tc>
          <w:tcPr>
            <w:tcW w:w="7361" w:type="dxa"/>
            <w:tcMar>
              <w:top w:w="80" w:type="dxa"/>
              <w:left w:w="80" w:type="dxa"/>
              <w:bottom w:w="80" w:type="dxa"/>
              <w:right w:w="80" w:type="dxa"/>
            </w:tcMar>
            <w:hideMark/>
          </w:tcPr>
          <w:p w14:paraId="5CFEF450" w14:textId="531CB177" w:rsidR="00A27997" w:rsidRPr="00A27997" w:rsidRDefault="00A27997" w:rsidP="00A27997">
            <w:pPr>
              <w:spacing w:line="240" w:lineRule="auto"/>
              <w:jc w:val="left"/>
              <w:rPr>
                <w:rFonts w:eastAsia="Times New Roman" w:cs="Calibri"/>
                <w:sz w:val="18"/>
                <w:szCs w:val="18"/>
                <w:lang w:eastAsia="de-DE"/>
              </w:rPr>
            </w:pPr>
            <w:r w:rsidRPr="00A27997">
              <w:rPr>
                <w:rFonts w:eastAsia="Times New Roman" w:cs="Calibri"/>
                <w:sz w:val="18"/>
                <w:szCs w:val="18"/>
                <w:lang w:eastAsia="de-DE"/>
              </w:rPr>
              <w:t>5 % Glutaraldehyde in PBS pH 7.4</w:t>
            </w:r>
            <w:r w:rsidR="00CD35BE">
              <w:rPr>
                <w:rFonts w:eastAsia="Times New Roman" w:cs="Calibri"/>
                <w:sz w:val="18"/>
                <w:szCs w:val="18"/>
                <w:lang w:eastAsia="de-DE"/>
              </w:rPr>
              <w:t xml:space="preserve">; </w:t>
            </w:r>
            <w:r>
              <w:rPr>
                <w:rFonts w:eastAsia="Times New Roman" w:cs="Calibri"/>
                <w:sz w:val="18"/>
                <w:szCs w:val="18"/>
                <w:lang w:eastAsia="de-DE"/>
              </w:rPr>
              <w:t>storage overnight at room temperature</w:t>
            </w:r>
          </w:p>
        </w:tc>
        <w:tc>
          <w:tcPr>
            <w:tcW w:w="1276" w:type="dxa"/>
            <w:tcMar>
              <w:top w:w="80" w:type="dxa"/>
              <w:left w:w="80" w:type="dxa"/>
              <w:bottom w:w="80" w:type="dxa"/>
              <w:right w:w="80" w:type="dxa"/>
            </w:tcMar>
            <w:hideMark/>
          </w:tcPr>
          <w:p w14:paraId="3BEF9461" w14:textId="77777777" w:rsidR="00A27997" w:rsidRPr="00A27997" w:rsidRDefault="00A27997" w:rsidP="00A27997">
            <w:pPr>
              <w:spacing w:line="240" w:lineRule="auto"/>
              <w:jc w:val="center"/>
              <w:rPr>
                <w:rFonts w:eastAsia="Times New Roman" w:cs="Calibri"/>
                <w:sz w:val="18"/>
                <w:szCs w:val="18"/>
                <w:lang w:eastAsia="de-DE"/>
              </w:rPr>
            </w:pPr>
            <w:r w:rsidRPr="00A27997">
              <w:rPr>
                <w:rFonts w:eastAsia="Times New Roman" w:cs="Calibri"/>
                <w:sz w:val="18"/>
                <w:szCs w:val="18"/>
                <w:lang w:eastAsia="de-DE"/>
              </w:rPr>
              <w:t>10</w:t>
            </w:r>
          </w:p>
        </w:tc>
        <w:tc>
          <w:tcPr>
            <w:tcW w:w="1809" w:type="dxa"/>
            <w:tcMar>
              <w:top w:w="80" w:type="dxa"/>
              <w:left w:w="80" w:type="dxa"/>
              <w:bottom w:w="80" w:type="dxa"/>
              <w:right w:w="80" w:type="dxa"/>
            </w:tcMar>
            <w:hideMark/>
          </w:tcPr>
          <w:p w14:paraId="711C159E" w14:textId="77777777" w:rsidR="00A27997" w:rsidRPr="00A27997" w:rsidRDefault="00A27997" w:rsidP="00A27997">
            <w:pPr>
              <w:spacing w:line="240" w:lineRule="auto"/>
              <w:jc w:val="center"/>
              <w:rPr>
                <w:rFonts w:eastAsia="Times New Roman" w:cs="Calibri"/>
                <w:sz w:val="18"/>
                <w:szCs w:val="18"/>
                <w:lang w:eastAsia="de-DE"/>
              </w:rPr>
            </w:pPr>
            <w:r w:rsidRPr="00A27997">
              <w:rPr>
                <w:rFonts w:eastAsia="Times New Roman" w:cs="Calibri"/>
                <w:sz w:val="18"/>
                <w:szCs w:val="18"/>
                <w:lang w:eastAsia="de-DE"/>
              </w:rPr>
              <w:t>0.2</w:t>
            </w:r>
          </w:p>
        </w:tc>
      </w:tr>
      <w:tr w:rsidR="00A27997" w:rsidRPr="00A27997" w14:paraId="42FAF44C" w14:textId="77777777" w:rsidTr="00A83FFC">
        <w:trPr>
          <w:trHeight w:val="57"/>
        </w:trPr>
        <w:tc>
          <w:tcPr>
            <w:tcW w:w="7361" w:type="dxa"/>
            <w:tcMar>
              <w:top w:w="80" w:type="dxa"/>
              <w:left w:w="80" w:type="dxa"/>
              <w:bottom w:w="80" w:type="dxa"/>
              <w:right w:w="80" w:type="dxa"/>
            </w:tcMar>
            <w:hideMark/>
          </w:tcPr>
          <w:p w14:paraId="55750CBA" w14:textId="77777777" w:rsidR="00A27997" w:rsidRPr="00A27997" w:rsidRDefault="00A27997" w:rsidP="00A27997">
            <w:pPr>
              <w:spacing w:line="240" w:lineRule="auto"/>
              <w:jc w:val="left"/>
              <w:rPr>
                <w:rFonts w:eastAsia="Times New Roman" w:cs="Calibri"/>
                <w:sz w:val="18"/>
                <w:szCs w:val="18"/>
                <w:lang w:eastAsia="de-DE"/>
              </w:rPr>
            </w:pPr>
            <w:r w:rsidRPr="00A27997">
              <w:rPr>
                <w:rFonts w:eastAsia="Times New Roman" w:cs="Calibri"/>
                <w:sz w:val="18"/>
                <w:szCs w:val="18"/>
                <w:lang w:eastAsia="de-DE"/>
              </w:rPr>
              <w:t>EtOH</w:t>
            </w:r>
          </w:p>
        </w:tc>
        <w:tc>
          <w:tcPr>
            <w:tcW w:w="1276" w:type="dxa"/>
            <w:tcMar>
              <w:top w:w="80" w:type="dxa"/>
              <w:left w:w="80" w:type="dxa"/>
              <w:bottom w:w="80" w:type="dxa"/>
              <w:right w:w="80" w:type="dxa"/>
            </w:tcMar>
            <w:hideMark/>
          </w:tcPr>
          <w:p w14:paraId="06762D9E" w14:textId="77777777" w:rsidR="00A27997" w:rsidRPr="00A27997" w:rsidRDefault="00A27997" w:rsidP="00A27997">
            <w:pPr>
              <w:spacing w:line="240" w:lineRule="auto"/>
              <w:jc w:val="center"/>
              <w:rPr>
                <w:rFonts w:eastAsia="Times New Roman" w:cs="Calibri"/>
                <w:sz w:val="18"/>
                <w:szCs w:val="18"/>
                <w:lang w:eastAsia="de-DE"/>
              </w:rPr>
            </w:pPr>
            <w:r w:rsidRPr="00A27997">
              <w:rPr>
                <w:rFonts w:eastAsia="Times New Roman" w:cs="Calibri"/>
                <w:sz w:val="18"/>
                <w:szCs w:val="18"/>
                <w:lang w:eastAsia="de-DE"/>
              </w:rPr>
              <w:t>20</w:t>
            </w:r>
          </w:p>
        </w:tc>
        <w:tc>
          <w:tcPr>
            <w:tcW w:w="1809" w:type="dxa"/>
            <w:tcMar>
              <w:top w:w="80" w:type="dxa"/>
              <w:left w:w="80" w:type="dxa"/>
              <w:bottom w:w="80" w:type="dxa"/>
              <w:right w:w="80" w:type="dxa"/>
            </w:tcMar>
            <w:hideMark/>
          </w:tcPr>
          <w:p w14:paraId="7EC0BC0B" w14:textId="77777777" w:rsidR="00A27997" w:rsidRPr="00A27997" w:rsidRDefault="00A27997" w:rsidP="00A27997">
            <w:pPr>
              <w:spacing w:line="240" w:lineRule="auto"/>
              <w:jc w:val="center"/>
              <w:rPr>
                <w:rFonts w:eastAsia="Times New Roman" w:cs="Calibri"/>
                <w:sz w:val="18"/>
                <w:szCs w:val="18"/>
                <w:lang w:eastAsia="de-DE"/>
              </w:rPr>
            </w:pPr>
            <w:r w:rsidRPr="00A27997">
              <w:rPr>
                <w:rFonts w:eastAsia="Times New Roman" w:cs="Calibri"/>
                <w:sz w:val="18"/>
                <w:szCs w:val="18"/>
                <w:lang w:eastAsia="de-DE"/>
              </w:rPr>
              <w:t>0.5</w:t>
            </w:r>
          </w:p>
        </w:tc>
      </w:tr>
      <w:tr w:rsidR="00A27997" w:rsidRPr="00A27997" w14:paraId="2B6A6DF2" w14:textId="77777777" w:rsidTr="00A83FFC">
        <w:trPr>
          <w:trHeight w:val="57"/>
        </w:trPr>
        <w:tc>
          <w:tcPr>
            <w:tcW w:w="7361" w:type="dxa"/>
            <w:tcMar>
              <w:top w:w="80" w:type="dxa"/>
              <w:left w:w="80" w:type="dxa"/>
              <w:bottom w:w="80" w:type="dxa"/>
              <w:right w:w="80" w:type="dxa"/>
            </w:tcMar>
            <w:hideMark/>
          </w:tcPr>
          <w:p w14:paraId="307ADCA7" w14:textId="77777777" w:rsidR="00A27997" w:rsidRPr="00A27997" w:rsidRDefault="00A27997" w:rsidP="00A27997">
            <w:pPr>
              <w:spacing w:line="240" w:lineRule="auto"/>
              <w:jc w:val="left"/>
              <w:rPr>
                <w:rFonts w:eastAsia="Times New Roman" w:cs="Calibri"/>
                <w:sz w:val="18"/>
                <w:szCs w:val="18"/>
                <w:lang w:eastAsia="de-DE"/>
              </w:rPr>
            </w:pPr>
            <w:r w:rsidRPr="00A27997">
              <w:rPr>
                <w:rFonts w:eastAsia="Times New Roman" w:cs="Calibri"/>
                <w:sz w:val="18"/>
                <w:szCs w:val="18"/>
                <w:lang w:eastAsia="de-DE"/>
              </w:rPr>
              <w:t>PBS pH 7.4</w:t>
            </w:r>
          </w:p>
        </w:tc>
        <w:tc>
          <w:tcPr>
            <w:tcW w:w="1276" w:type="dxa"/>
            <w:tcMar>
              <w:top w:w="80" w:type="dxa"/>
              <w:left w:w="80" w:type="dxa"/>
              <w:bottom w:w="80" w:type="dxa"/>
              <w:right w:w="80" w:type="dxa"/>
            </w:tcMar>
            <w:hideMark/>
          </w:tcPr>
          <w:p w14:paraId="746FD2B9" w14:textId="2140B06B" w:rsidR="00A27997" w:rsidRPr="00A27997" w:rsidRDefault="00CD35BE" w:rsidP="00A27997">
            <w:pPr>
              <w:spacing w:line="240" w:lineRule="auto"/>
              <w:jc w:val="center"/>
              <w:rPr>
                <w:rFonts w:eastAsia="Times New Roman" w:cs="Calibri"/>
                <w:sz w:val="18"/>
                <w:szCs w:val="18"/>
                <w:lang w:eastAsia="de-DE"/>
              </w:rPr>
            </w:pPr>
            <w:r>
              <w:rPr>
                <w:rFonts w:eastAsia="Times New Roman" w:cs="Calibri"/>
                <w:sz w:val="18"/>
                <w:szCs w:val="18"/>
                <w:lang w:eastAsia="de-DE"/>
              </w:rPr>
              <w:t>3</w:t>
            </w:r>
            <w:r w:rsidR="00A27997" w:rsidRPr="00A27997">
              <w:rPr>
                <w:rFonts w:eastAsia="Times New Roman" w:cs="Calibri"/>
                <w:sz w:val="18"/>
                <w:szCs w:val="18"/>
                <w:lang w:eastAsia="de-DE"/>
              </w:rPr>
              <w:t>0</w:t>
            </w:r>
          </w:p>
        </w:tc>
        <w:tc>
          <w:tcPr>
            <w:tcW w:w="1809" w:type="dxa"/>
            <w:tcMar>
              <w:top w:w="80" w:type="dxa"/>
              <w:left w:w="80" w:type="dxa"/>
              <w:bottom w:w="80" w:type="dxa"/>
              <w:right w:w="80" w:type="dxa"/>
            </w:tcMar>
            <w:hideMark/>
          </w:tcPr>
          <w:p w14:paraId="00F3FE2B" w14:textId="77777777" w:rsidR="00A27997" w:rsidRPr="00A27997" w:rsidRDefault="00A27997" w:rsidP="00A27997">
            <w:pPr>
              <w:spacing w:line="240" w:lineRule="auto"/>
              <w:jc w:val="center"/>
              <w:rPr>
                <w:rFonts w:eastAsia="Times New Roman" w:cs="Calibri"/>
                <w:sz w:val="18"/>
                <w:szCs w:val="18"/>
                <w:lang w:eastAsia="de-DE"/>
              </w:rPr>
            </w:pPr>
            <w:r w:rsidRPr="00A27997">
              <w:rPr>
                <w:rFonts w:eastAsia="Times New Roman" w:cs="Calibri"/>
                <w:sz w:val="18"/>
                <w:szCs w:val="18"/>
                <w:lang w:eastAsia="de-DE"/>
              </w:rPr>
              <w:t>0.5</w:t>
            </w:r>
          </w:p>
        </w:tc>
      </w:tr>
      <w:tr w:rsidR="00A27997" w:rsidRPr="00A27997" w14:paraId="4605434F" w14:textId="77777777" w:rsidTr="00A83FFC">
        <w:trPr>
          <w:trHeight w:val="57"/>
        </w:trPr>
        <w:tc>
          <w:tcPr>
            <w:tcW w:w="7361" w:type="dxa"/>
            <w:tcMar>
              <w:top w:w="80" w:type="dxa"/>
              <w:left w:w="80" w:type="dxa"/>
              <w:bottom w:w="80" w:type="dxa"/>
              <w:right w:w="80" w:type="dxa"/>
            </w:tcMar>
            <w:hideMark/>
          </w:tcPr>
          <w:p w14:paraId="2D08AAD8" w14:textId="73AD7EF2" w:rsidR="00A27997" w:rsidRPr="00A27997" w:rsidRDefault="00A27997" w:rsidP="00A27997">
            <w:pPr>
              <w:spacing w:line="240" w:lineRule="auto"/>
              <w:jc w:val="left"/>
              <w:rPr>
                <w:rFonts w:eastAsia="Times New Roman" w:cs="Calibri"/>
                <w:sz w:val="18"/>
                <w:szCs w:val="18"/>
                <w:lang w:eastAsia="de-DE"/>
              </w:rPr>
            </w:pPr>
            <w:r w:rsidRPr="00A27997">
              <w:rPr>
                <w:rFonts w:eastAsia="Times New Roman" w:cs="Calibri"/>
                <w:sz w:val="18"/>
                <w:szCs w:val="18"/>
                <w:lang w:eastAsia="de-DE"/>
              </w:rPr>
              <w:t>BSA-P</w:t>
            </w:r>
            <w:r w:rsidR="00CD35BE">
              <w:rPr>
                <w:rFonts w:eastAsia="Times New Roman" w:cs="Calibri"/>
                <w:sz w:val="18"/>
                <w:szCs w:val="18"/>
                <w:lang w:eastAsia="de-DE"/>
              </w:rPr>
              <w:t>eptide-</w:t>
            </w:r>
            <w:r w:rsidRPr="00A27997">
              <w:rPr>
                <w:rFonts w:eastAsia="Times New Roman" w:cs="Calibri"/>
                <w:sz w:val="18"/>
                <w:szCs w:val="18"/>
                <w:lang w:eastAsia="de-DE"/>
              </w:rPr>
              <w:t>Conjugate in PBS pH 7.4 (2 mg/mL)</w:t>
            </w:r>
            <w:r w:rsidR="00CD35BE">
              <w:rPr>
                <w:rFonts w:eastAsia="Times New Roman" w:cs="Calibri"/>
                <w:sz w:val="18"/>
                <w:szCs w:val="18"/>
                <w:lang w:eastAsia="de-DE"/>
              </w:rPr>
              <w:t xml:space="preserve">; </w:t>
            </w:r>
            <w:r>
              <w:rPr>
                <w:rFonts w:eastAsia="Times New Roman" w:cs="Calibri"/>
                <w:sz w:val="18"/>
                <w:szCs w:val="18"/>
                <w:lang w:eastAsia="de-DE"/>
              </w:rPr>
              <w:t xml:space="preserve">storage </w:t>
            </w:r>
            <w:r w:rsidR="00EB02ED">
              <w:rPr>
                <w:rFonts w:eastAsia="Times New Roman" w:cs="Calibri"/>
                <w:sz w:val="18"/>
                <w:szCs w:val="18"/>
                <w:lang w:eastAsia="de-DE"/>
              </w:rPr>
              <w:t>for 40 h</w:t>
            </w:r>
            <w:r>
              <w:rPr>
                <w:rFonts w:eastAsia="Times New Roman" w:cs="Calibri"/>
                <w:sz w:val="18"/>
                <w:szCs w:val="18"/>
                <w:lang w:eastAsia="de-DE"/>
              </w:rPr>
              <w:t xml:space="preserve"> at room temperature</w:t>
            </w:r>
          </w:p>
        </w:tc>
        <w:tc>
          <w:tcPr>
            <w:tcW w:w="1276" w:type="dxa"/>
            <w:tcMar>
              <w:top w:w="80" w:type="dxa"/>
              <w:left w:w="80" w:type="dxa"/>
              <w:bottom w:w="80" w:type="dxa"/>
              <w:right w:w="80" w:type="dxa"/>
            </w:tcMar>
            <w:hideMark/>
          </w:tcPr>
          <w:p w14:paraId="408EDBDA" w14:textId="77777777" w:rsidR="00A27997" w:rsidRPr="00A27997" w:rsidRDefault="00A27997" w:rsidP="00A27997">
            <w:pPr>
              <w:spacing w:line="240" w:lineRule="auto"/>
              <w:jc w:val="center"/>
              <w:rPr>
                <w:rFonts w:eastAsia="Times New Roman" w:cs="Calibri"/>
                <w:sz w:val="18"/>
                <w:szCs w:val="18"/>
                <w:lang w:eastAsia="de-DE"/>
              </w:rPr>
            </w:pPr>
            <w:r w:rsidRPr="00A27997">
              <w:rPr>
                <w:rFonts w:eastAsia="Times New Roman" w:cs="Calibri"/>
                <w:sz w:val="18"/>
                <w:szCs w:val="18"/>
                <w:lang w:eastAsia="de-DE"/>
              </w:rPr>
              <w:t>3</w:t>
            </w:r>
          </w:p>
        </w:tc>
        <w:tc>
          <w:tcPr>
            <w:tcW w:w="1809" w:type="dxa"/>
            <w:tcMar>
              <w:top w:w="80" w:type="dxa"/>
              <w:left w:w="80" w:type="dxa"/>
              <w:bottom w:w="80" w:type="dxa"/>
              <w:right w:w="80" w:type="dxa"/>
            </w:tcMar>
            <w:hideMark/>
          </w:tcPr>
          <w:p w14:paraId="4394FEF1" w14:textId="77777777" w:rsidR="00A27997" w:rsidRPr="00A27997" w:rsidRDefault="00A27997" w:rsidP="00A27997">
            <w:pPr>
              <w:spacing w:line="240" w:lineRule="auto"/>
              <w:jc w:val="center"/>
              <w:rPr>
                <w:rFonts w:eastAsia="Times New Roman" w:cs="Calibri"/>
                <w:sz w:val="18"/>
                <w:szCs w:val="18"/>
                <w:lang w:eastAsia="de-DE"/>
              </w:rPr>
            </w:pPr>
            <w:r w:rsidRPr="00A27997">
              <w:rPr>
                <w:rFonts w:eastAsia="Times New Roman" w:cs="Calibri"/>
                <w:sz w:val="18"/>
                <w:szCs w:val="18"/>
                <w:lang w:eastAsia="de-DE"/>
              </w:rPr>
              <w:t>0.01</w:t>
            </w:r>
          </w:p>
        </w:tc>
      </w:tr>
      <w:tr w:rsidR="00A27997" w:rsidRPr="00A27997" w14:paraId="62356195" w14:textId="77777777" w:rsidTr="00A83FFC">
        <w:trPr>
          <w:trHeight w:val="57"/>
        </w:trPr>
        <w:tc>
          <w:tcPr>
            <w:tcW w:w="7361" w:type="dxa"/>
            <w:tcMar>
              <w:top w:w="80" w:type="dxa"/>
              <w:left w:w="80" w:type="dxa"/>
              <w:bottom w:w="80" w:type="dxa"/>
              <w:right w:w="80" w:type="dxa"/>
            </w:tcMar>
            <w:hideMark/>
          </w:tcPr>
          <w:p w14:paraId="7ED4C00F" w14:textId="77777777" w:rsidR="00A27997" w:rsidRPr="00A27997" w:rsidRDefault="00A27997" w:rsidP="00A27997">
            <w:pPr>
              <w:spacing w:line="240" w:lineRule="auto"/>
              <w:jc w:val="left"/>
              <w:rPr>
                <w:rFonts w:eastAsia="Times New Roman" w:cs="Calibri"/>
                <w:sz w:val="18"/>
                <w:szCs w:val="18"/>
                <w:lang w:val="de-DE" w:eastAsia="de-DE"/>
              </w:rPr>
            </w:pPr>
            <w:r w:rsidRPr="00A27997">
              <w:rPr>
                <w:rFonts w:eastAsia="Times New Roman" w:cs="Calibri"/>
                <w:sz w:val="18"/>
                <w:szCs w:val="18"/>
                <w:lang w:val="de-DE" w:eastAsia="de-DE"/>
              </w:rPr>
              <w:t>50 mM NaCNBH3 in PBS pH 7.4</w:t>
            </w:r>
          </w:p>
        </w:tc>
        <w:tc>
          <w:tcPr>
            <w:tcW w:w="1276" w:type="dxa"/>
            <w:tcMar>
              <w:top w:w="80" w:type="dxa"/>
              <w:left w:w="80" w:type="dxa"/>
              <w:bottom w:w="80" w:type="dxa"/>
              <w:right w:w="80" w:type="dxa"/>
            </w:tcMar>
            <w:hideMark/>
          </w:tcPr>
          <w:p w14:paraId="42D8FD1B" w14:textId="259CD470" w:rsidR="00A27997" w:rsidRPr="00A27997" w:rsidRDefault="00EB02ED" w:rsidP="00A27997">
            <w:pPr>
              <w:spacing w:line="240" w:lineRule="auto"/>
              <w:jc w:val="center"/>
              <w:rPr>
                <w:rFonts w:eastAsia="Times New Roman" w:cs="Calibri"/>
                <w:sz w:val="18"/>
                <w:szCs w:val="18"/>
                <w:lang w:eastAsia="de-DE"/>
              </w:rPr>
            </w:pPr>
            <w:r>
              <w:rPr>
                <w:rFonts w:eastAsia="Times New Roman" w:cs="Calibri"/>
                <w:sz w:val="18"/>
                <w:szCs w:val="18"/>
                <w:lang w:eastAsia="de-DE"/>
              </w:rPr>
              <w:t>10</w:t>
            </w:r>
          </w:p>
        </w:tc>
        <w:tc>
          <w:tcPr>
            <w:tcW w:w="1809" w:type="dxa"/>
            <w:tcMar>
              <w:top w:w="80" w:type="dxa"/>
              <w:left w:w="80" w:type="dxa"/>
              <w:bottom w:w="80" w:type="dxa"/>
              <w:right w:w="80" w:type="dxa"/>
            </w:tcMar>
            <w:hideMark/>
          </w:tcPr>
          <w:p w14:paraId="1972BFD1" w14:textId="77777777" w:rsidR="00A27997" w:rsidRPr="00A27997" w:rsidRDefault="00A27997" w:rsidP="00A27997">
            <w:pPr>
              <w:spacing w:line="240" w:lineRule="auto"/>
              <w:jc w:val="center"/>
              <w:rPr>
                <w:rFonts w:eastAsia="Times New Roman" w:cs="Calibri"/>
                <w:sz w:val="18"/>
                <w:szCs w:val="18"/>
                <w:lang w:eastAsia="de-DE"/>
              </w:rPr>
            </w:pPr>
            <w:r w:rsidRPr="00A27997">
              <w:rPr>
                <w:rFonts w:eastAsia="Times New Roman" w:cs="Calibri"/>
                <w:sz w:val="18"/>
                <w:szCs w:val="18"/>
                <w:lang w:eastAsia="de-DE"/>
              </w:rPr>
              <w:t>0.1</w:t>
            </w:r>
          </w:p>
        </w:tc>
      </w:tr>
      <w:tr w:rsidR="00A27997" w:rsidRPr="00A27997" w14:paraId="58236D35" w14:textId="77777777" w:rsidTr="00A83FFC">
        <w:trPr>
          <w:trHeight w:val="57"/>
        </w:trPr>
        <w:tc>
          <w:tcPr>
            <w:tcW w:w="7361" w:type="dxa"/>
            <w:tcMar>
              <w:top w:w="80" w:type="dxa"/>
              <w:left w:w="80" w:type="dxa"/>
              <w:bottom w:w="80" w:type="dxa"/>
              <w:right w:w="80" w:type="dxa"/>
            </w:tcMar>
            <w:hideMark/>
          </w:tcPr>
          <w:p w14:paraId="34ED74DC" w14:textId="74D5FE42" w:rsidR="00A27997" w:rsidRPr="00A27997" w:rsidRDefault="00A27997" w:rsidP="00A27997">
            <w:pPr>
              <w:spacing w:line="240" w:lineRule="auto"/>
              <w:jc w:val="left"/>
              <w:rPr>
                <w:rFonts w:eastAsia="Times New Roman" w:cs="Calibri"/>
                <w:sz w:val="18"/>
                <w:szCs w:val="18"/>
                <w:lang w:eastAsia="de-DE"/>
              </w:rPr>
            </w:pPr>
            <w:r>
              <w:rPr>
                <w:rFonts w:eastAsia="Times New Roman" w:cs="Calibri"/>
                <w:sz w:val="18"/>
                <w:szCs w:val="18"/>
                <w:lang w:eastAsia="de-DE"/>
              </w:rPr>
              <w:t>PBS pH 7.4</w:t>
            </w:r>
          </w:p>
        </w:tc>
        <w:tc>
          <w:tcPr>
            <w:tcW w:w="1276" w:type="dxa"/>
            <w:tcMar>
              <w:top w:w="80" w:type="dxa"/>
              <w:left w:w="80" w:type="dxa"/>
              <w:bottom w:w="80" w:type="dxa"/>
              <w:right w:w="80" w:type="dxa"/>
            </w:tcMar>
            <w:hideMark/>
          </w:tcPr>
          <w:p w14:paraId="14A8ECB3" w14:textId="559208FF" w:rsidR="00A27997" w:rsidRPr="00A27997" w:rsidRDefault="00EB02ED" w:rsidP="00A27997">
            <w:pPr>
              <w:spacing w:line="240" w:lineRule="auto"/>
              <w:jc w:val="center"/>
              <w:rPr>
                <w:rFonts w:eastAsia="Times New Roman" w:cs="Calibri"/>
                <w:sz w:val="18"/>
                <w:szCs w:val="18"/>
                <w:lang w:eastAsia="de-DE"/>
              </w:rPr>
            </w:pPr>
            <w:r>
              <w:rPr>
                <w:rFonts w:eastAsia="Times New Roman" w:cs="Calibri"/>
                <w:sz w:val="18"/>
                <w:szCs w:val="18"/>
                <w:lang w:eastAsia="de-DE"/>
              </w:rPr>
              <w:t>1</w:t>
            </w:r>
            <w:r w:rsidR="00CD35BE">
              <w:rPr>
                <w:rFonts w:eastAsia="Times New Roman" w:cs="Calibri"/>
                <w:sz w:val="18"/>
                <w:szCs w:val="18"/>
                <w:lang w:eastAsia="de-DE"/>
              </w:rPr>
              <w:t>0</w:t>
            </w:r>
          </w:p>
        </w:tc>
        <w:tc>
          <w:tcPr>
            <w:tcW w:w="1809" w:type="dxa"/>
            <w:tcMar>
              <w:top w:w="80" w:type="dxa"/>
              <w:left w:w="80" w:type="dxa"/>
              <w:bottom w:w="80" w:type="dxa"/>
              <w:right w:w="80" w:type="dxa"/>
            </w:tcMar>
            <w:hideMark/>
          </w:tcPr>
          <w:p w14:paraId="2F8D3B29" w14:textId="7D731D82" w:rsidR="00A27997" w:rsidRPr="00A27997" w:rsidRDefault="00CD35BE" w:rsidP="00A27997">
            <w:pPr>
              <w:spacing w:line="240" w:lineRule="auto"/>
              <w:jc w:val="center"/>
              <w:rPr>
                <w:rFonts w:eastAsia="Times New Roman" w:cs="Calibri"/>
                <w:sz w:val="18"/>
                <w:szCs w:val="18"/>
                <w:lang w:eastAsia="de-DE"/>
              </w:rPr>
            </w:pPr>
            <w:r>
              <w:rPr>
                <w:rFonts w:eastAsia="Times New Roman" w:cs="Calibri"/>
                <w:sz w:val="18"/>
                <w:szCs w:val="18"/>
                <w:lang w:eastAsia="de-DE"/>
              </w:rPr>
              <w:t>1</w:t>
            </w:r>
          </w:p>
        </w:tc>
      </w:tr>
      <w:tr w:rsidR="00A27997" w:rsidRPr="00A27997" w14:paraId="0161AABB" w14:textId="77777777" w:rsidTr="00A83FFC">
        <w:trPr>
          <w:trHeight w:val="57"/>
        </w:trPr>
        <w:tc>
          <w:tcPr>
            <w:tcW w:w="7361" w:type="dxa"/>
            <w:tcMar>
              <w:top w:w="80" w:type="dxa"/>
              <w:left w:w="80" w:type="dxa"/>
              <w:bottom w:w="80" w:type="dxa"/>
              <w:right w:w="80" w:type="dxa"/>
            </w:tcMar>
            <w:hideMark/>
          </w:tcPr>
          <w:p w14:paraId="25A3F226" w14:textId="3CD2774F" w:rsidR="00A27997" w:rsidRPr="00A27997" w:rsidRDefault="00A27997" w:rsidP="00A27997">
            <w:pPr>
              <w:spacing w:line="240" w:lineRule="auto"/>
              <w:jc w:val="left"/>
              <w:rPr>
                <w:rFonts w:eastAsia="Times New Roman" w:cs="Calibri"/>
                <w:sz w:val="18"/>
                <w:szCs w:val="18"/>
                <w:lang w:eastAsia="de-DE"/>
              </w:rPr>
            </w:pPr>
            <w:r w:rsidRPr="00A27997">
              <w:rPr>
                <w:rFonts w:eastAsia="Times New Roman" w:cs="Calibri"/>
                <w:sz w:val="18"/>
                <w:szCs w:val="18"/>
                <w:lang w:eastAsia="de-DE"/>
              </w:rPr>
              <w:t>PBST(</w:t>
            </w:r>
            <w:bookmarkStart w:id="0" w:name="_Hlk121484878"/>
            <w:r w:rsidRPr="00A27997">
              <w:rPr>
                <w:rFonts w:eastAsia="Times New Roman" w:cs="Calibri"/>
                <w:sz w:val="18"/>
                <w:szCs w:val="18"/>
                <w:lang w:eastAsia="de-DE"/>
              </w:rPr>
              <w:t>0.1%</w:t>
            </w:r>
            <w:r w:rsidR="0084338B">
              <w:rPr>
                <w:rFonts w:eastAsia="Times New Roman" w:cs="Calibri"/>
                <w:sz w:val="18"/>
                <w:szCs w:val="18"/>
                <w:lang w:eastAsia="de-DE"/>
              </w:rPr>
              <w:t xml:space="preserve"> Tween20</w:t>
            </w:r>
            <w:r w:rsidRPr="00A27997">
              <w:rPr>
                <w:rFonts w:eastAsia="Times New Roman" w:cs="Calibri"/>
                <w:sz w:val="18"/>
                <w:szCs w:val="18"/>
                <w:lang w:eastAsia="de-DE"/>
              </w:rPr>
              <w:t>)-BSA(0.1%</w:t>
            </w:r>
            <w:bookmarkEnd w:id="0"/>
            <w:r w:rsidRPr="00A27997">
              <w:rPr>
                <w:rFonts w:eastAsia="Times New Roman" w:cs="Calibri"/>
                <w:sz w:val="18"/>
                <w:szCs w:val="18"/>
                <w:lang w:eastAsia="de-DE"/>
              </w:rPr>
              <w:t>)</w:t>
            </w:r>
            <w:r w:rsidR="00FD10B3">
              <w:rPr>
                <w:rFonts w:eastAsia="Times New Roman" w:cs="Calibri"/>
                <w:sz w:val="18"/>
                <w:szCs w:val="18"/>
                <w:lang w:eastAsia="de-DE"/>
              </w:rPr>
              <w:t xml:space="preserve">; </w:t>
            </w:r>
            <w:r w:rsidRPr="00A27997">
              <w:rPr>
                <w:rFonts w:eastAsia="Times New Roman" w:cs="Calibri"/>
                <w:sz w:val="18"/>
                <w:szCs w:val="18"/>
                <w:lang w:eastAsia="de-DE"/>
              </w:rPr>
              <w:t>pH 7.4</w:t>
            </w:r>
          </w:p>
        </w:tc>
        <w:tc>
          <w:tcPr>
            <w:tcW w:w="1276" w:type="dxa"/>
            <w:tcMar>
              <w:top w:w="80" w:type="dxa"/>
              <w:left w:w="80" w:type="dxa"/>
              <w:bottom w:w="80" w:type="dxa"/>
              <w:right w:w="80" w:type="dxa"/>
            </w:tcMar>
            <w:hideMark/>
          </w:tcPr>
          <w:p w14:paraId="1D8D51E8" w14:textId="61143B71" w:rsidR="00A27997" w:rsidRPr="00A27997" w:rsidRDefault="00CD35BE" w:rsidP="00A27997">
            <w:pPr>
              <w:spacing w:line="240" w:lineRule="auto"/>
              <w:jc w:val="center"/>
              <w:rPr>
                <w:rFonts w:eastAsia="Times New Roman" w:cs="Calibri"/>
                <w:sz w:val="18"/>
                <w:szCs w:val="18"/>
                <w:lang w:eastAsia="de-DE"/>
              </w:rPr>
            </w:pPr>
            <w:r>
              <w:rPr>
                <w:rFonts w:eastAsia="Times New Roman" w:cs="Calibri"/>
                <w:sz w:val="18"/>
                <w:szCs w:val="18"/>
                <w:lang w:eastAsia="de-DE"/>
              </w:rPr>
              <w:t>40</w:t>
            </w:r>
          </w:p>
        </w:tc>
        <w:tc>
          <w:tcPr>
            <w:tcW w:w="1809" w:type="dxa"/>
            <w:tcMar>
              <w:top w:w="80" w:type="dxa"/>
              <w:left w:w="80" w:type="dxa"/>
              <w:bottom w:w="80" w:type="dxa"/>
              <w:right w:w="80" w:type="dxa"/>
            </w:tcMar>
            <w:hideMark/>
          </w:tcPr>
          <w:p w14:paraId="518BF5CD" w14:textId="1FC56966" w:rsidR="00A27997" w:rsidRPr="00A27997" w:rsidRDefault="00CD35BE" w:rsidP="00A27997">
            <w:pPr>
              <w:spacing w:line="240" w:lineRule="auto"/>
              <w:jc w:val="center"/>
              <w:rPr>
                <w:rFonts w:eastAsia="Times New Roman" w:cs="Calibri"/>
                <w:sz w:val="18"/>
                <w:szCs w:val="18"/>
                <w:lang w:eastAsia="de-DE"/>
              </w:rPr>
            </w:pPr>
            <w:r>
              <w:rPr>
                <w:rFonts w:eastAsia="Times New Roman" w:cs="Calibri"/>
                <w:sz w:val="18"/>
                <w:szCs w:val="18"/>
                <w:lang w:eastAsia="de-DE"/>
              </w:rPr>
              <w:t>1</w:t>
            </w:r>
          </w:p>
        </w:tc>
      </w:tr>
      <w:tr w:rsidR="00A27997" w:rsidRPr="00A27997" w14:paraId="6CACBDDE" w14:textId="77777777" w:rsidTr="00A83FFC">
        <w:trPr>
          <w:trHeight w:val="57"/>
        </w:trPr>
        <w:tc>
          <w:tcPr>
            <w:tcW w:w="7361" w:type="dxa"/>
            <w:tcMar>
              <w:top w:w="80" w:type="dxa"/>
              <w:left w:w="80" w:type="dxa"/>
              <w:bottom w:w="80" w:type="dxa"/>
              <w:right w:w="80" w:type="dxa"/>
            </w:tcMar>
            <w:hideMark/>
          </w:tcPr>
          <w:p w14:paraId="1ADF7D49" w14:textId="3F1F2A90" w:rsidR="00A27997" w:rsidRPr="00A27997" w:rsidRDefault="00A27997" w:rsidP="00A27997">
            <w:pPr>
              <w:spacing w:line="240" w:lineRule="auto"/>
              <w:jc w:val="left"/>
              <w:rPr>
                <w:rFonts w:eastAsia="Times New Roman" w:cs="Calibri"/>
                <w:sz w:val="18"/>
                <w:szCs w:val="18"/>
                <w:lang w:eastAsia="de-DE"/>
              </w:rPr>
            </w:pPr>
            <w:r>
              <w:rPr>
                <w:rFonts w:eastAsia="Times New Roman" w:cs="Calibri"/>
                <w:sz w:val="18"/>
                <w:szCs w:val="18"/>
                <w:lang w:eastAsia="de-DE"/>
              </w:rPr>
              <w:t>Ultra-pure</w:t>
            </w:r>
            <w:r w:rsidRPr="00A27997">
              <w:rPr>
                <w:rFonts w:eastAsia="Times New Roman" w:cs="Calibri"/>
                <w:sz w:val="18"/>
                <w:szCs w:val="18"/>
                <w:lang w:eastAsia="de-DE"/>
              </w:rPr>
              <w:t xml:space="preserve"> water</w:t>
            </w:r>
          </w:p>
        </w:tc>
        <w:tc>
          <w:tcPr>
            <w:tcW w:w="1276" w:type="dxa"/>
            <w:tcMar>
              <w:top w:w="80" w:type="dxa"/>
              <w:left w:w="80" w:type="dxa"/>
              <w:bottom w:w="80" w:type="dxa"/>
              <w:right w:w="80" w:type="dxa"/>
            </w:tcMar>
            <w:hideMark/>
          </w:tcPr>
          <w:p w14:paraId="0AD61997" w14:textId="091D8C2D" w:rsidR="00A27997" w:rsidRPr="00A27997" w:rsidRDefault="00EB02ED" w:rsidP="00A27997">
            <w:pPr>
              <w:spacing w:line="240" w:lineRule="auto"/>
              <w:jc w:val="center"/>
              <w:rPr>
                <w:rFonts w:eastAsia="Times New Roman" w:cs="Calibri"/>
                <w:sz w:val="18"/>
                <w:szCs w:val="18"/>
                <w:lang w:eastAsia="de-DE"/>
              </w:rPr>
            </w:pPr>
            <w:r>
              <w:rPr>
                <w:rFonts w:eastAsia="Times New Roman" w:cs="Calibri"/>
                <w:sz w:val="18"/>
                <w:szCs w:val="18"/>
                <w:lang w:eastAsia="de-DE"/>
              </w:rPr>
              <w:t>2</w:t>
            </w:r>
            <w:r w:rsidR="00A27997" w:rsidRPr="00A27997">
              <w:rPr>
                <w:rFonts w:eastAsia="Times New Roman" w:cs="Calibri"/>
                <w:sz w:val="18"/>
                <w:szCs w:val="18"/>
                <w:lang w:eastAsia="de-DE"/>
              </w:rPr>
              <w:t>0</w:t>
            </w:r>
          </w:p>
        </w:tc>
        <w:tc>
          <w:tcPr>
            <w:tcW w:w="1809" w:type="dxa"/>
            <w:tcMar>
              <w:top w:w="80" w:type="dxa"/>
              <w:left w:w="80" w:type="dxa"/>
              <w:bottom w:w="80" w:type="dxa"/>
              <w:right w:w="80" w:type="dxa"/>
            </w:tcMar>
            <w:hideMark/>
          </w:tcPr>
          <w:p w14:paraId="52A05A15" w14:textId="77777777" w:rsidR="00A27997" w:rsidRPr="00A27997" w:rsidRDefault="00A27997" w:rsidP="00A27997">
            <w:pPr>
              <w:spacing w:line="240" w:lineRule="auto"/>
              <w:jc w:val="center"/>
              <w:rPr>
                <w:rFonts w:eastAsia="Times New Roman" w:cs="Calibri"/>
                <w:sz w:val="18"/>
                <w:szCs w:val="18"/>
                <w:lang w:eastAsia="de-DE"/>
              </w:rPr>
            </w:pPr>
            <w:r w:rsidRPr="00A27997">
              <w:rPr>
                <w:rFonts w:eastAsia="Times New Roman" w:cs="Calibri"/>
                <w:sz w:val="18"/>
                <w:szCs w:val="18"/>
                <w:lang w:eastAsia="de-DE"/>
              </w:rPr>
              <w:t>0.5</w:t>
            </w:r>
          </w:p>
        </w:tc>
      </w:tr>
      <w:tr w:rsidR="00A27997" w:rsidRPr="00A27997" w14:paraId="66E6B11E" w14:textId="77777777" w:rsidTr="00A83FFC">
        <w:trPr>
          <w:trHeight w:val="57"/>
        </w:trPr>
        <w:tc>
          <w:tcPr>
            <w:tcW w:w="7361" w:type="dxa"/>
            <w:tcMar>
              <w:top w:w="80" w:type="dxa"/>
              <w:left w:w="80" w:type="dxa"/>
              <w:bottom w:w="80" w:type="dxa"/>
              <w:right w:w="80" w:type="dxa"/>
            </w:tcMar>
            <w:hideMark/>
          </w:tcPr>
          <w:p w14:paraId="39FCD4E6" w14:textId="00E5EB49" w:rsidR="00A27997" w:rsidRPr="00A27997" w:rsidRDefault="00A27997" w:rsidP="00A27997">
            <w:pPr>
              <w:spacing w:line="240" w:lineRule="auto"/>
              <w:jc w:val="left"/>
              <w:rPr>
                <w:rFonts w:eastAsia="Times New Roman" w:cs="Calibri"/>
                <w:sz w:val="18"/>
                <w:szCs w:val="18"/>
                <w:lang w:eastAsia="de-DE"/>
              </w:rPr>
            </w:pPr>
            <w:r w:rsidRPr="00A27997">
              <w:rPr>
                <w:rFonts w:eastAsia="Times New Roman" w:cs="Calibri"/>
                <w:sz w:val="18"/>
                <w:szCs w:val="18"/>
                <w:lang w:eastAsia="de-DE"/>
              </w:rPr>
              <w:t>80 % Et</w:t>
            </w:r>
            <w:r w:rsidR="008C647A">
              <w:rPr>
                <w:rFonts w:eastAsia="Times New Roman" w:cs="Calibri"/>
                <w:sz w:val="18"/>
                <w:szCs w:val="18"/>
                <w:lang w:eastAsia="de-DE"/>
              </w:rPr>
              <w:t>OH</w:t>
            </w:r>
            <w:r w:rsidRPr="00A27997">
              <w:rPr>
                <w:rFonts w:eastAsia="Times New Roman" w:cs="Calibri"/>
                <w:sz w:val="18"/>
                <w:szCs w:val="18"/>
                <w:lang w:eastAsia="de-DE"/>
              </w:rPr>
              <w:t xml:space="preserve"> (Storage</w:t>
            </w:r>
            <w:r w:rsidR="00FD10B3">
              <w:rPr>
                <w:rFonts w:eastAsia="Times New Roman" w:cs="Calibri"/>
                <w:sz w:val="18"/>
                <w:szCs w:val="18"/>
                <w:lang w:eastAsia="de-DE"/>
              </w:rPr>
              <w:t xml:space="preserve"> at 4 °C</w:t>
            </w:r>
            <w:r w:rsidRPr="00A27997">
              <w:rPr>
                <w:rFonts w:eastAsia="Times New Roman" w:cs="Calibri"/>
                <w:sz w:val="18"/>
                <w:szCs w:val="18"/>
                <w:lang w:eastAsia="de-DE"/>
              </w:rPr>
              <w:t>)</w:t>
            </w:r>
          </w:p>
        </w:tc>
        <w:tc>
          <w:tcPr>
            <w:tcW w:w="1276" w:type="dxa"/>
            <w:tcMar>
              <w:top w:w="80" w:type="dxa"/>
              <w:left w:w="80" w:type="dxa"/>
              <w:bottom w:w="80" w:type="dxa"/>
              <w:right w:w="80" w:type="dxa"/>
            </w:tcMar>
            <w:hideMark/>
          </w:tcPr>
          <w:p w14:paraId="33806115" w14:textId="77777777" w:rsidR="00A27997" w:rsidRPr="00A27997" w:rsidRDefault="00A27997" w:rsidP="00A27997">
            <w:pPr>
              <w:spacing w:line="240" w:lineRule="auto"/>
              <w:jc w:val="center"/>
              <w:rPr>
                <w:rFonts w:eastAsia="Times New Roman" w:cs="Calibri"/>
                <w:sz w:val="18"/>
                <w:szCs w:val="18"/>
                <w:lang w:eastAsia="de-DE"/>
              </w:rPr>
            </w:pPr>
            <w:r w:rsidRPr="00A27997">
              <w:rPr>
                <w:rFonts w:eastAsia="Times New Roman" w:cs="Calibri"/>
                <w:sz w:val="18"/>
                <w:szCs w:val="18"/>
                <w:lang w:eastAsia="de-DE"/>
              </w:rPr>
              <w:t>10</w:t>
            </w:r>
          </w:p>
        </w:tc>
        <w:tc>
          <w:tcPr>
            <w:tcW w:w="1809" w:type="dxa"/>
            <w:tcMar>
              <w:top w:w="80" w:type="dxa"/>
              <w:left w:w="80" w:type="dxa"/>
              <w:bottom w:w="80" w:type="dxa"/>
              <w:right w:w="80" w:type="dxa"/>
            </w:tcMar>
            <w:hideMark/>
          </w:tcPr>
          <w:p w14:paraId="5F194130" w14:textId="77777777" w:rsidR="00A27997" w:rsidRPr="00A27997" w:rsidRDefault="00A27997" w:rsidP="00A27997">
            <w:pPr>
              <w:spacing w:line="240" w:lineRule="auto"/>
              <w:jc w:val="center"/>
              <w:rPr>
                <w:rFonts w:eastAsia="Times New Roman" w:cs="Calibri"/>
                <w:sz w:val="18"/>
                <w:szCs w:val="18"/>
                <w:lang w:eastAsia="de-DE"/>
              </w:rPr>
            </w:pPr>
            <w:r w:rsidRPr="00A27997">
              <w:rPr>
                <w:rFonts w:eastAsia="Times New Roman" w:cs="Calibri"/>
                <w:sz w:val="18"/>
                <w:szCs w:val="18"/>
                <w:lang w:eastAsia="de-DE"/>
              </w:rPr>
              <w:t>0.5</w:t>
            </w:r>
          </w:p>
        </w:tc>
      </w:tr>
    </w:tbl>
    <w:p w14:paraId="36105ECF" w14:textId="04A2F811" w:rsidR="00C876E9" w:rsidRDefault="00C876E9" w:rsidP="00B3394C">
      <w:pPr>
        <w:pStyle w:val="MDPI32textnoindent"/>
        <w:ind w:left="0"/>
      </w:pPr>
    </w:p>
    <w:p w14:paraId="7B13557A" w14:textId="3CC8F2CD" w:rsidR="00C876E9" w:rsidRDefault="00C876E9">
      <w:pPr>
        <w:spacing w:line="240" w:lineRule="auto"/>
        <w:jc w:val="left"/>
        <w:rPr>
          <w:rFonts w:eastAsia="Times New Roman"/>
          <w:noProof w:val="0"/>
          <w:snapToGrid w:val="0"/>
          <w:szCs w:val="22"/>
          <w:lang w:eastAsia="de-DE" w:bidi="en-US"/>
        </w:rPr>
      </w:pPr>
      <w:r>
        <w:br w:type="page"/>
      </w:r>
    </w:p>
    <w:p w14:paraId="482D97EB" w14:textId="404BBA29" w:rsidR="006626B3" w:rsidRDefault="006626B3" w:rsidP="006626B3">
      <w:pPr>
        <w:pStyle w:val="MDPI21heading1"/>
        <w:ind w:left="0"/>
      </w:pPr>
      <w:r>
        <w:lastRenderedPageBreak/>
        <w:t>Antibody-Labeling and Functionality Test</w:t>
      </w:r>
    </w:p>
    <w:p w14:paraId="34319515" w14:textId="77777777" w:rsidR="006626B3" w:rsidRDefault="006626B3" w:rsidP="006626B3">
      <w:pPr>
        <w:pStyle w:val="MDPI21heading1"/>
        <w:ind w:left="0"/>
      </w:pPr>
    </w:p>
    <w:p w14:paraId="44E434DF" w14:textId="29572592" w:rsidR="006626B3" w:rsidRDefault="00EB1D43" w:rsidP="006626B3">
      <w:pPr>
        <w:pStyle w:val="MDPI31text"/>
        <w:ind w:left="0"/>
      </w:pPr>
      <w:proofErr w:type="gramStart"/>
      <w:r>
        <w:t>In order t</w:t>
      </w:r>
      <w:r w:rsidR="006626B3">
        <w:t>o</w:t>
      </w:r>
      <w:proofErr w:type="gramEnd"/>
      <w:r w:rsidR="006626B3">
        <w:t xml:space="preserve"> verify the functionality of the antibody-HRP conjugate (clone 9707) and the ability to bind the peptide-BSA conjugate, two different approaches have been tested. First, the conjugate was immobilized on a microtiter plate and incubated with </w:t>
      </w:r>
      <w:r w:rsidR="00F135E8">
        <w:t>varying</w:t>
      </w:r>
      <w:r w:rsidR="006626B3">
        <w:t xml:space="preserve"> concentrations of the 9707-HRP antibody. As a negative control, plain BSA was immobilized separately. After the incubation with TMB substrate, the absorbance was measured, as shown in figure </w:t>
      </w:r>
      <w:r w:rsidR="006626B3" w:rsidRPr="00BA71EF">
        <w:t>S</w:t>
      </w:r>
      <w:r w:rsidR="00DF0086" w:rsidRPr="00BA71EF">
        <w:rPr>
          <w:color w:val="000000" w:themeColor="text1"/>
        </w:rPr>
        <w:t>5</w:t>
      </w:r>
      <w:r w:rsidR="006626B3" w:rsidRPr="00BA71EF">
        <w:rPr>
          <w:color w:val="000000" w:themeColor="text1"/>
        </w:rPr>
        <w:t>, A</w:t>
      </w:r>
      <w:r w:rsidR="006626B3" w:rsidRPr="00BA71EF">
        <w:t>.</w:t>
      </w:r>
      <w:r w:rsidR="006626B3">
        <w:t xml:space="preserve"> It could be demonstrated that the HRP-labeled antibody binds the peptide, and signals can be measured down to the picomolar range.</w:t>
      </w:r>
    </w:p>
    <w:p w14:paraId="591D851E" w14:textId="3F5FF9F2" w:rsidR="006626B3" w:rsidRDefault="006626B3" w:rsidP="006626B3">
      <w:pPr>
        <w:pStyle w:val="MDPI31text"/>
      </w:pPr>
    </w:p>
    <w:p w14:paraId="1829EA6A" w14:textId="60047E39" w:rsidR="006626B3" w:rsidRPr="009D05EA" w:rsidRDefault="009D05EA" w:rsidP="009D05EA">
      <w:pPr>
        <w:pStyle w:val="MDPI31text"/>
        <w:ind w:left="2040"/>
        <w:rPr>
          <w:b/>
          <w:bCs/>
          <w:sz w:val="24"/>
          <w:szCs w:val="28"/>
        </w:rPr>
      </w:pPr>
      <w:r w:rsidRPr="009D05EA">
        <w:rPr>
          <w:b/>
          <w:bCs/>
          <w:noProof/>
          <w:sz w:val="24"/>
          <w:szCs w:val="28"/>
        </w:rPr>
        <w:drawing>
          <wp:anchor distT="0" distB="0" distL="114300" distR="114300" simplePos="0" relativeHeight="251685888" behindDoc="0" locked="0" layoutInCell="1" allowOverlap="1" wp14:anchorId="7EC10550" wp14:editId="56ED39BD">
            <wp:simplePos x="0" y="0"/>
            <wp:positionH relativeFrom="margin">
              <wp:posOffset>1639354</wp:posOffset>
            </wp:positionH>
            <wp:positionV relativeFrom="paragraph">
              <wp:posOffset>205584</wp:posOffset>
            </wp:positionV>
            <wp:extent cx="3527563" cy="2700000"/>
            <wp:effectExtent l="0" t="0" r="0" b="5715"/>
            <wp:wrapTopAndBottom/>
            <wp:docPr id="10"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3527563" cy="2700000"/>
                    </a:xfrm>
                    <a:prstGeom prst="rect">
                      <a:avLst/>
                    </a:prstGeom>
                  </pic:spPr>
                </pic:pic>
              </a:graphicData>
            </a:graphic>
            <wp14:sizeRelH relativeFrom="margin">
              <wp14:pctWidth>0</wp14:pctWidth>
            </wp14:sizeRelH>
            <wp14:sizeRelV relativeFrom="margin">
              <wp14:pctHeight>0</wp14:pctHeight>
            </wp14:sizeRelV>
          </wp:anchor>
        </w:drawing>
      </w:r>
      <w:r w:rsidR="006626B3" w:rsidRPr="009D05EA">
        <w:rPr>
          <w:b/>
          <w:bCs/>
          <w:sz w:val="24"/>
          <w:szCs w:val="28"/>
        </w:rPr>
        <w:t>A</w:t>
      </w:r>
    </w:p>
    <w:p w14:paraId="5E44BC0E" w14:textId="4B9D4821" w:rsidR="006626B3" w:rsidRPr="009D05EA" w:rsidRDefault="006626B3" w:rsidP="009D05EA">
      <w:pPr>
        <w:pStyle w:val="MDPI31text"/>
        <w:ind w:left="2040"/>
        <w:rPr>
          <w:b/>
          <w:bCs/>
          <w:sz w:val="24"/>
          <w:szCs w:val="28"/>
        </w:rPr>
      </w:pPr>
      <w:r w:rsidRPr="009D05EA">
        <w:rPr>
          <w:b/>
          <w:bCs/>
          <w:noProof/>
          <w:sz w:val="24"/>
          <w:szCs w:val="28"/>
        </w:rPr>
        <w:drawing>
          <wp:anchor distT="0" distB="0" distL="114300" distR="114300" simplePos="0" relativeHeight="251686912" behindDoc="0" locked="0" layoutInCell="1" allowOverlap="1" wp14:anchorId="78E383C9" wp14:editId="5487977B">
            <wp:simplePos x="0" y="0"/>
            <wp:positionH relativeFrom="margin">
              <wp:posOffset>1678305</wp:posOffset>
            </wp:positionH>
            <wp:positionV relativeFrom="paragraph">
              <wp:posOffset>2980055</wp:posOffset>
            </wp:positionV>
            <wp:extent cx="3527563" cy="2700000"/>
            <wp:effectExtent l="0" t="0" r="0" b="5715"/>
            <wp:wrapTopAndBottom/>
            <wp:docPr id="11"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3527563" cy="2700000"/>
                    </a:xfrm>
                    <a:prstGeom prst="rect">
                      <a:avLst/>
                    </a:prstGeom>
                  </pic:spPr>
                </pic:pic>
              </a:graphicData>
            </a:graphic>
            <wp14:sizeRelH relativeFrom="margin">
              <wp14:pctWidth>0</wp14:pctWidth>
            </wp14:sizeRelH>
            <wp14:sizeRelV relativeFrom="margin">
              <wp14:pctHeight>0</wp14:pctHeight>
            </wp14:sizeRelV>
          </wp:anchor>
        </w:drawing>
      </w:r>
      <w:r w:rsidR="009D05EA" w:rsidRPr="009D05EA">
        <w:rPr>
          <w:b/>
          <w:bCs/>
          <w:sz w:val="24"/>
          <w:szCs w:val="28"/>
        </w:rPr>
        <w:t>B</w:t>
      </w:r>
    </w:p>
    <w:p w14:paraId="1B12A865" w14:textId="133C76DA" w:rsidR="006626B3" w:rsidRDefault="006626B3" w:rsidP="009D05EA">
      <w:pPr>
        <w:pStyle w:val="MDPI51figurecaption"/>
        <w:ind w:left="0"/>
      </w:pPr>
      <w:r w:rsidRPr="00B538C7">
        <w:rPr>
          <w:b/>
          <w:bCs/>
        </w:rPr>
        <w:t xml:space="preserve">Figure </w:t>
      </w:r>
      <w:r>
        <w:rPr>
          <w:b/>
          <w:bCs/>
        </w:rPr>
        <w:t>S</w:t>
      </w:r>
      <w:r w:rsidR="007E0D74">
        <w:rPr>
          <w:b/>
          <w:bCs/>
        </w:rPr>
        <w:t>5.</w:t>
      </w:r>
      <w:r>
        <w:t xml:space="preserve"> 9707-HRP antibody binding against BSA-Pep188-199 conjugate (</w:t>
      </w:r>
      <w:r w:rsidR="00744686">
        <w:t>A</w:t>
      </w:r>
      <w:r>
        <w:t>) and 9707 antibody competition between the BSA-Pep188-199 conjugated and the expressed rec. cTnI (</w:t>
      </w:r>
      <w:r w:rsidR="00744686">
        <w:t>B</w:t>
      </w:r>
      <w:r>
        <w:t>).</w:t>
      </w:r>
    </w:p>
    <w:p w14:paraId="2FB73583" w14:textId="552328E3" w:rsidR="006626B3" w:rsidRDefault="006626B3" w:rsidP="006626B3">
      <w:pPr>
        <w:pStyle w:val="MDPI31text"/>
        <w:ind w:left="0"/>
        <w:rPr>
          <w:b/>
        </w:rPr>
      </w:pPr>
      <w:r>
        <w:t xml:space="preserve">The second approach was to test the antibody inhibition with the expressed recombinant cTnI (see figure </w:t>
      </w:r>
      <w:r w:rsidRPr="00BA71EF">
        <w:rPr>
          <w:color w:val="000000" w:themeColor="text1"/>
        </w:rPr>
        <w:t>S</w:t>
      </w:r>
      <w:r w:rsidR="00772C04" w:rsidRPr="00BA71EF">
        <w:rPr>
          <w:color w:val="000000" w:themeColor="text1"/>
        </w:rPr>
        <w:t>5</w:t>
      </w:r>
      <w:r w:rsidRPr="00BA71EF">
        <w:rPr>
          <w:color w:val="000000" w:themeColor="text1"/>
        </w:rPr>
        <w:t xml:space="preserve">, B). </w:t>
      </w:r>
      <w:r>
        <w:t>The peptide-BSA conjugate was immobilized in a microtiter plate and incubated with a constant concentration of 9707-HRP and an increasing concentration of recombinant cTnI as the analyte. A</w:t>
      </w:r>
      <w:r w:rsidR="00F135E8">
        <w:t>s a result, a</w:t>
      </w:r>
      <w:r>
        <w:t xml:space="preserve">n IC50 </w:t>
      </w:r>
      <w:r w:rsidRPr="00F31DD9">
        <w:rPr>
          <w:color w:val="auto"/>
        </w:rPr>
        <w:t xml:space="preserve">of 100 µg/L </w:t>
      </w:r>
      <w:r>
        <w:t xml:space="preserve">and a limit of detection </w:t>
      </w:r>
      <w:r w:rsidRPr="00F31DD9">
        <w:rPr>
          <w:color w:val="auto"/>
        </w:rPr>
        <w:t xml:space="preserve">of 2 µg/L </w:t>
      </w:r>
      <w:r>
        <w:t>could be achieved.</w:t>
      </w:r>
      <w:r>
        <w:br w:type="page"/>
      </w:r>
    </w:p>
    <w:p w14:paraId="0A1B1F9D" w14:textId="6DF0F3D5" w:rsidR="00A83FFC" w:rsidRDefault="00A83FFC" w:rsidP="00A83FFC">
      <w:pPr>
        <w:pStyle w:val="MDPI21heading1"/>
        <w:ind w:left="0"/>
      </w:pPr>
      <w:r>
        <w:lastRenderedPageBreak/>
        <w:t>Biosensor and Fluidic Setup Optimization</w:t>
      </w:r>
    </w:p>
    <w:p w14:paraId="6B855E8C" w14:textId="77777777" w:rsidR="00A83FFC" w:rsidRDefault="00A83FFC" w:rsidP="00A83FFC">
      <w:pPr>
        <w:pStyle w:val="MDPI23heading3"/>
        <w:ind w:left="0"/>
      </w:pPr>
    </w:p>
    <w:p w14:paraId="4D9883A8" w14:textId="4AA65E88" w:rsidR="00A83FFC" w:rsidRDefault="00A83FFC" w:rsidP="00A83FFC">
      <w:pPr>
        <w:pStyle w:val="MDPI22heading2"/>
        <w:ind w:left="0"/>
      </w:pPr>
      <w:r>
        <w:t>Test of CMOS Sensor and Temperature</w:t>
      </w:r>
    </w:p>
    <w:p w14:paraId="076BDA9D" w14:textId="77777777" w:rsidR="00A83FFC" w:rsidRDefault="00A83FFC" w:rsidP="00A83FFC">
      <w:pPr>
        <w:pStyle w:val="MDPI23heading3"/>
        <w:ind w:left="0"/>
      </w:pPr>
    </w:p>
    <w:p w14:paraId="6EFF91A8" w14:textId="1E3C2B0D" w:rsidR="00A83FFC" w:rsidRDefault="00A83FFC" w:rsidP="00A83FFC">
      <w:pPr>
        <w:pStyle w:val="MDPI31text"/>
        <w:ind w:left="0"/>
      </w:pPr>
      <w:r w:rsidRPr="00F31DD9">
        <w:rPr>
          <w:noProof/>
        </w:rPr>
        <w:drawing>
          <wp:anchor distT="0" distB="0" distL="114300" distR="114300" simplePos="0" relativeHeight="251689984" behindDoc="0" locked="0" layoutInCell="1" allowOverlap="1" wp14:anchorId="739C4E11" wp14:editId="2D46D246">
            <wp:simplePos x="0" y="0"/>
            <wp:positionH relativeFrom="margin">
              <wp:align>center</wp:align>
            </wp:positionH>
            <wp:positionV relativeFrom="paragraph">
              <wp:posOffset>618490</wp:posOffset>
            </wp:positionV>
            <wp:extent cx="4938244" cy="3780000"/>
            <wp:effectExtent l="0" t="0" r="0" b="0"/>
            <wp:wrapTopAndBottom/>
            <wp:docPr id="12" name="Grafi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4938244" cy="3780000"/>
                    </a:xfrm>
                    <a:prstGeom prst="rect">
                      <a:avLst/>
                    </a:prstGeom>
                  </pic:spPr>
                </pic:pic>
              </a:graphicData>
            </a:graphic>
            <wp14:sizeRelH relativeFrom="margin">
              <wp14:pctWidth>0</wp14:pctWidth>
            </wp14:sizeRelH>
            <wp14:sizeRelV relativeFrom="margin">
              <wp14:pctHeight>0</wp14:pctHeight>
            </wp14:sizeRelV>
          </wp:anchor>
        </w:drawing>
      </w:r>
      <w:r>
        <w:rPr>
          <w:noProof/>
        </w:rPr>
        <w:t>Enzymatically catalyzed chemiluminescence</w:t>
      </w:r>
      <w:r w:rsidRPr="003C7045">
        <w:t xml:space="preserve"> is a temperature-dependent reaction</w:t>
      </w:r>
      <w:r>
        <w:t xml:space="preserve">. Hence, the relative chemiluminescence (RLU) was measured depending on the sensor and environmental temperature inside and outside the </w:t>
      </w:r>
      <w:r w:rsidR="00327F4C">
        <w:t>biosensor enclosure, as</w:t>
      </w:r>
      <w:r>
        <w:t xml:space="preserve"> shown in </w:t>
      </w:r>
      <w:r w:rsidRPr="00BA71EF">
        <w:rPr>
          <w:color w:val="000000" w:themeColor="text1"/>
        </w:rPr>
        <w:t xml:space="preserve">figure </w:t>
      </w:r>
      <w:r w:rsidR="00BA71EF" w:rsidRPr="00BA71EF">
        <w:rPr>
          <w:color w:val="000000" w:themeColor="text1"/>
        </w:rPr>
        <w:t>S6</w:t>
      </w:r>
      <w:r w:rsidRPr="00BA71EF">
        <w:rPr>
          <w:color w:val="000000" w:themeColor="text1"/>
        </w:rPr>
        <w:t xml:space="preserve">. </w:t>
      </w:r>
    </w:p>
    <w:p w14:paraId="5D83BAC3" w14:textId="2BCA3FE1" w:rsidR="00A83FFC" w:rsidRDefault="00A83FFC" w:rsidP="00A77339">
      <w:pPr>
        <w:pStyle w:val="MDPI51figurecaption"/>
        <w:ind w:left="0"/>
      </w:pPr>
      <w:r w:rsidRPr="007E0D74">
        <w:rPr>
          <w:b/>
          <w:bCs/>
          <w:color w:val="000000" w:themeColor="text1"/>
        </w:rPr>
        <w:t xml:space="preserve">Figure </w:t>
      </w:r>
      <w:r w:rsidR="007E0D74">
        <w:rPr>
          <w:b/>
          <w:bCs/>
          <w:color w:val="000000" w:themeColor="text1"/>
        </w:rPr>
        <w:t>S</w:t>
      </w:r>
      <w:r w:rsidR="007E0D74" w:rsidRPr="007E0D74">
        <w:rPr>
          <w:b/>
          <w:bCs/>
          <w:color w:val="000000" w:themeColor="text1"/>
        </w:rPr>
        <w:t>6.</w:t>
      </w:r>
      <w:r w:rsidRPr="007E0D74">
        <w:rPr>
          <w:color w:val="000000" w:themeColor="text1"/>
        </w:rPr>
        <w:t xml:space="preserve"> </w:t>
      </w:r>
      <w:r w:rsidRPr="00073C69">
        <w:t xml:space="preserve">Investigation of the noise behavior of the CMOS under various conditions, such as heat generation during measurement </w:t>
      </w:r>
      <w:r>
        <w:t xml:space="preserve">in and outside the enclosure after starting </w:t>
      </w:r>
      <w:r w:rsidRPr="00073C69">
        <w:t>active cooling</w:t>
      </w:r>
      <w:r>
        <w:t xml:space="preserve"> of the CMOS sensor to -5 °C</w:t>
      </w:r>
      <w:r w:rsidRPr="00073C69">
        <w:t>.</w:t>
      </w:r>
      <w:r>
        <w:t xml:space="preserve"> RLU was measured with an exposure of 15 sec.</w:t>
      </w:r>
    </w:p>
    <w:p w14:paraId="21A0B7DD" w14:textId="4B77A354" w:rsidR="00A83FFC" w:rsidRDefault="00A83FFC" w:rsidP="00A83FFC">
      <w:pPr>
        <w:pStyle w:val="MDPI31text"/>
        <w:ind w:left="0"/>
      </w:pPr>
      <w:r>
        <w:t>Due to the readout of the CMOS-Sensor, the RLU increases within the first 25 minutes</w:t>
      </w:r>
      <w:r w:rsidR="00EB1D43">
        <w:t>,</w:t>
      </w:r>
      <w:r>
        <w:t xml:space="preserve"> as well as the sensor temperature. </w:t>
      </w:r>
      <w:r w:rsidR="00F135E8">
        <w:t xml:space="preserve">Therefore, </w:t>
      </w:r>
      <w:r>
        <w:t xml:space="preserve">to achieve a low and constant chemiluminescent background signal, the sensor surface was actively cooled down to -5 °C. </w:t>
      </w:r>
      <w:r w:rsidR="00F135E8">
        <w:t>In addition, t</w:t>
      </w:r>
      <w:r>
        <w:t xml:space="preserve">he temperature increase in the enclosure box was recorded as well. Usually, a CMOS cooling temperature of -5 °C and an environmental temperature equilibration of around 30 minutes was chosen before starting measurements. </w:t>
      </w:r>
    </w:p>
    <w:p w14:paraId="2DBA57C7" w14:textId="77777777" w:rsidR="00A83FFC" w:rsidRDefault="00A83FFC" w:rsidP="00A83FFC">
      <w:pPr>
        <w:pStyle w:val="MDPI31text"/>
      </w:pPr>
    </w:p>
    <w:p w14:paraId="60C63380" w14:textId="77777777" w:rsidR="00A83FFC" w:rsidRDefault="00A83FFC" w:rsidP="00A83FFC">
      <w:pPr>
        <w:spacing w:line="240" w:lineRule="auto"/>
        <w:jc w:val="left"/>
        <w:rPr>
          <w:rFonts w:eastAsia="Times New Roman"/>
          <w:noProof w:val="0"/>
          <w:snapToGrid w:val="0"/>
          <w:szCs w:val="22"/>
          <w:lang w:eastAsia="de-DE" w:bidi="en-US"/>
        </w:rPr>
      </w:pPr>
      <w:r>
        <w:br w:type="page"/>
      </w:r>
    </w:p>
    <w:p w14:paraId="2EB296E8" w14:textId="3D55F580" w:rsidR="00A83FFC" w:rsidRDefault="00A83FFC" w:rsidP="00A83FFC">
      <w:pPr>
        <w:pStyle w:val="MDPI22heading2"/>
        <w:ind w:left="0"/>
      </w:pPr>
      <w:r w:rsidRPr="00A83FFC">
        <w:lastRenderedPageBreak/>
        <w:t>Incubation</w:t>
      </w:r>
      <w:r>
        <w:t xml:space="preserve"> Time of Chemiluminescence Substrate</w:t>
      </w:r>
    </w:p>
    <w:p w14:paraId="25B814A8" w14:textId="77777777" w:rsidR="001519BF" w:rsidRPr="00A52F47" w:rsidRDefault="001519BF" w:rsidP="00A83FFC">
      <w:pPr>
        <w:pStyle w:val="MDPI22heading2"/>
        <w:ind w:left="0"/>
      </w:pPr>
    </w:p>
    <w:p w14:paraId="14542138" w14:textId="6B375FCF" w:rsidR="00A83FFC" w:rsidRPr="008804A9" w:rsidRDefault="00A83FFC" w:rsidP="00A83FFC">
      <w:pPr>
        <w:pStyle w:val="MDPI31text"/>
        <w:ind w:left="0"/>
      </w:pPr>
      <w:r w:rsidRPr="003F6443">
        <w:rPr>
          <w:noProof/>
        </w:rPr>
        <w:drawing>
          <wp:anchor distT="0" distB="0" distL="114300" distR="114300" simplePos="0" relativeHeight="251688960" behindDoc="0" locked="0" layoutInCell="1" allowOverlap="1" wp14:anchorId="1962F13C" wp14:editId="6C95E722">
            <wp:simplePos x="0" y="0"/>
            <wp:positionH relativeFrom="margin">
              <wp:align>center</wp:align>
            </wp:positionH>
            <wp:positionV relativeFrom="paragraph">
              <wp:posOffset>655320</wp:posOffset>
            </wp:positionV>
            <wp:extent cx="4938395" cy="3780000"/>
            <wp:effectExtent l="0" t="0" r="0" b="0"/>
            <wp:wrapTopAndBottom/>
            <wp:docPr id="21" name="Grafik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4938395" cy="3780000"/>
                    </a:xfrm>
                    <a:prstGeom prst="rect">
                      <a:avLst/>
                    </a:prstGeom>
                  </pic:spPr>
                </pic:pic>
              </a:graphicData>
            </a:graphic>
            <wp14:sizeRelH relativeFrom="margin">
              <wp14:pctWidth>0</wp14:pctWidth>
            </wp14:sizeRelH>
            <wp14:sizeRelV relativeFrom="margin">
              <wp14:pctHeight>0</wp14:pctHeight>
            </wp14:sizeRelV>
          </wp:anchor>
        </w:drawing>
      </w:r>
      <w:r>
        <w:t>For the chemiluminescence substrate mainly based on a mixture of luminol and H</w:t>
      </w:r>
      <w:r>
        <w:rPr>
          <w:vertAlign w:val="subscript"/>
        </w:rPr>
        <w:t>2</w:t>
      </w:r>
      <w:r>
        <w:t>O</w:t>
      </w:r>
      <w:r>
        <w:rPr>
          <w:vertAlign w:val="subscript"/>
        </w:rPr>
        <w:t>2,</w:t>
      </w:r>
      <w:r>
        <w:t xml:space="preserve"> the kinetics of signal development and its stability</w:t>
      </w:r>
      <w:r w:rsidR="00130C95">
        <w:t xml:space="preserve"> was</w:t>
      </w:r>
      <w:r>
        <w:t xml:space="preserve"> investigated, as shown in Figu</w:t>
      </w:r>
      <w:r w:rsidRPr="00BA71EF">
        <w:rPr>
          <w:color w:val="000000" w:themeColor="text1"/>
        </w:rPr>
        <w:t>re </w:t>
      </w:r>
      <w:r w:rsidR="00772C04" w:rsidRPr="00BA71EF">
        <w:rPr>
          <w:color w:val="000000" w:themeColor="text1"/>
        </w:rPr>
        <w:t>S7</w:t>
      </w:r>
      <w:r w:rsidRPr="00BA71EF">
        <w:rPr>
          <w:color w:val="000000" w:themeColor="text1"/>
        </w:rPr>
        <w:t xml:space="preserve">. </w:t>
      </w:r>
      <w:r>
        <w:t>The antibody-HRP conjugate was diluted to 1:60,000 in total, around 0.02 </w:t>
      </w:r>
      <w:r w:rsidR="009F05DF">
        <w:t>n</w:t>
      </w:r>
      <w:r>
        <w:t>g/L.</w:t>
      </w:r>
    </w:p>
    <w:p w14:paraId="7A8B1A23" w14:textId="71BB341F" w:rsidR="00A83FFC" w:rsidRDefault="00A83FFC" w:rsidP="00A83FFC">
      <w:pPr>
        <w:pStyle w:val="MDPI51figurecaption"/>
        <w:ind w:left="510"/>
      </w:pPr>
      <w:r w:rsidRPr="007E0D74">
        <w:rPr>
          <w:b/>
          <w:bCs/>
        </w:rPr>
        <w:t>Figure</w:t>
      </w:r>
      <w:r w:rsidRPr="007E0D74">
        <w:rPr>
          <w:b/>
          <w:bCs/>
          <w:color w:val="000000" w:themeColor="text1"/>
        </w:rPr>
        <w:t xml:space="preserve"> </w:t>
      </w:r>
      <w:r w:rsidR="007E0D74" w:rsidRPr="007E0D74">
        <w:rPr>
          <w:b/>
          <w:bCs/>
          <w:color w:val="000000" w:themeColor="text1"/>
        </w:rPr>
        <w:t>S7</w:t>
      </w:r>
      <w:r w:rsidRPr="007E0D74">
        <w:rPr>
          <w:b/>
          <w:bCs/>
          <w:color w:val="000000" w:themeColor="text1"/>
        </w:rPr>
        <w:t xml:space="preserve">. </w:t>
      </w:r>
      <w:r>
        <w:t>Relative luminescence unit (RLU) measurement of three different sample matrices (PBST-BSA, human serum 1:40, and human plasma 1:40) mixed with chemiluminescence substrate in a 1:1 ratio, simulating the biosensor measurement.</w:t>
      </w:r>
    </w:p>
    <w:p w14:paraId="4576A4C7" w14:textId="343C17ED" w:rsidR="00A83FFC" w:rsidRDefault="00A83FFC" w:rsidP="00A83FFC">
      <w:pPr>
        <w:pStyle w:val="MDPI31text"/>
        <w:ind w:left="510"/>
      </w:pPr>
      <w:r>
        <w:t xml:space="preserve">PBS shows an immediate </w:t>
      </w:r>
      <w:r w:rsidR="00F135E8">
        <w:t>signal rise</w:t>
      </w:r>
      <w:r>
        <w:t>, in contrast to the mixtures simulating a more complex sample matrix. The signal development of diluted serum and plasma reaches its maximum after around ten minutes. Therefore, an additional incubation loop with a minimum of ten minutes of incubation time was implemented.</w:t>
      </w:r>
    </w:p>
    <w:p w14:paraId="3C066FFC" w14:textId="77777777" w:rsidR="006626B3" w:rsidRDefault="006626B3" w:rsidP="00CD35BE">
      <w:pPr>
        <w:pStyle w:val="MDPI21heading1"/>
        <w:ind w:left="0"/>
      </w:pPr>
    </w:p>
    <w:p w14:paraId="1E7F392F" w14:textId="603B8423" w:rsidR="00175B5E" w:rsidRPr="00175B5E" w:rsidRDefault="00175B5E" w:rsidP="00175B5E">
      <w:pPr>
        <w:spacing w:line="240" w:lineRule="auto"/>
        <w:jc w:val="left"/>
        <w:rPr>
          <w:rFonts w:eastAsia="Times New Roman"/>
          <w:b/>
          <w:noProof w:val="0"/>
          <w:snapToGrid w:val="0"/>
          <w:szCs w:val="22"/>
          <w:lang w:eastAsia="de-DE" w:bidi="en-US"/>
        </w:rPr>
      </w:pPr>
      <w:r>
        <w:br w:type="page"/>
      </w:r>
    </w:p>
    <w:p w14:paraId="2C813DE7" w14:textId="741B26F6" w:rsidR="00CD35BE" w:rsidRDefault="00CD35BE" w:rsidP="00CD35BE">
      <w:pPr>
        <w:pStyle w:val="MDPI21heading1"/>
        <w:ind w:left="0"/>
      </w:pPr>
      <w:r>
        <w:lastRenderedPageBreak/>
        <w:t>Details Biosensor Setup</w:t>
      </w:r>
    </w:p>
    <w:p w14:paraId="5D026C43" w14:textId="537B3E06" w:rsidR="00FB74CB" w:rsidRPr="00FB74CB" w:rsidRDefault="00FB74CB" w:rsidP="00FB74CB">
      <w:pPr>
        <w:pStyle w:val="MDPI32textnoindent"/>
        <w:ind w:left="0"/>
      </w:pPr>
      <w:r w:rsidRPr="00A8034C">
        <w:rPr>
          <w:noProof/>
        </w:rPr>
        <w:drawing>
          <wp:anchor distT="0" distB="0" distL="114300" distR="114300" simplePos="0" relativeHeight="251663360" behindDoc="0" locked="0" layoutInCell="1" allowOverlap="1" wp14:anchorId="6CF69588" wp14:editId="395E13EB">
            <wp:simplePos x="0" y="0"/>
            <wp:positionH relativeFrom="margin">
              <wp:posOffset>0</wp:posOffset>
            </wp:positionH>
            <wp:positionV relativeFrom="paragraph">
              <wp:posOffset>224790</wp:posOffset>
            </wp:positionV>
            <wp:extent cx="1612900" cy="4752975"/>
            <wp:effectExtent l="0" t="0" r="6350" b="9525"/>
            <wp:wrapTopAndBottom/>
            <wp:docPr id="22" name="Grafik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1612900" cy="4752975"/>
                    </a:xfrm>
                    <a:prstGeom prst="rect">
                      <a:avLst/>
                    </a:prstGeom>
                  </pic:spPr>
                </pic:pic>
              </a:graphicData>
            </a:graphic>
            <wp14:sizeRelH relativeFrom="margin">
              <wp14:pctWidth>0</wp14:pctWidth>
            </wp14:sizeRelH>
            <wp14:sizeRelV relativeFrom="margin">
              <wp14:pctHeight>0</wp14:pctHeight>
            </wp14:sizeRelV>
          </wp:anchor>
        </w:drawing>
      </w:r>
      <w:r w:rsidRPr="00C876E9">
        <w:rPr>
          <w:noProof/>
        </w:rPr>
        <w:drawing>
          <wp:anchor distT="0" distB="0" distL="114300" distR="114300" simplePos="0" relativeHeight="251667456" behindDoc="0" locked="0" layoutInCell="1" allowOverlap="1" wp14:anchorId="799505E6" wp14:editId="49757032">
            <wp:simplePos x="0" y="0"/>
            <wp:positionH relativeFrom="margin">
              <wp:posOffset>4436110</wp:posOffset>
            </wp:positionH>
            <wp:positionV relativeFrom="paragraph">
              <wp:posOffset>647700</wp:posOffset>
            </wp:positionV>
            <wp:extent cx="2204085" cy="3734435"/>
            <wp:effectExtent l="0" t="0" r="5715" b="0"/>
            <wp:wrapTopAndBottom/>
            <wp:docPr id="25" name="Grafik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9"/>
                    <a:srcRect l="21394" t="17234" r="12674" b="3798"/>
                    <a:stretch/>
                  </pic:blipFill>
                  <pic:spPr bwMode="auto">
                    <a:xfrm>
                      <a:off x="0" y="0"/>
                      <a:ext cx="2204085" cy="373443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A8034C">
        <w:rPr>
          <w:noProof/>
        </w:rPr>
        <w:drawing>
          <wp:anchor distT="0" distB="0" distL="114300" distR="114300" simplePos="0" relativeHeight="251665408" behindDoc="0" locked="0" layoutInCell="1" allowOverlap="1" wp14:anchorId="3CEEE5DC" wp14:editId="70B6AAE9">
            <wp:simplePos x="0" y="0"/>
            <wp:positionH relativeFrom="margin">
              <wp:posOffset>2266315</wp:posOffset>
            </wp:positionH>
            <wp:positionV relativeFrom="paragraph">
              <wp:posOffset>1158803</wp:posOffset>
            </wp:positionV>
            <wp:extent cx="1848485" cy="3175635"/>
            <wp:effectExtent l="0" t="0" r="0" b="5715"/>
            <wp:wrapTopAndBottom/>
            <wp:docPr id="23" name="Grafi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0"/>
                    <a:srcRect l="30893" r="27956"/>
                    <a:stretch/>
                  </pic:blipFill>
                  <pic:spPr bwMode="auto">
                    <a:xfrm>
                      <a:off x="0" y="0"/>
                      <a:ext cx="1848485" cy="317563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28FA20E4" w14:textId="6A788C80" w:rsidR="00FB74CB" w:rsidRDefault="00FB74CB" w:rsidP="00FB74CB">
      <w:pPr>
        <w:pStyle w:val="MDPI51figurecaption"/>
        <w:ind w:left="0"/>
      </w:pPr>
      <w:r w:rsidRPr="007E0D74">
        <w:rPr>
          <w:b/>
          <w:bCs/>
        </w:rPr>
        <w:t>Figure S</w:t>
      </w:r>
      <w:r w:rsidR="00D966B0">
        <w:rPr>
          <w:b/>
          <w:bCs/>
        </w:rPr>
        <w:t>8</w:t>
      </w:r>
      <w:r w:rsidRPr="007E0D74">
        <w:rPr>
          <w:b/>
          <w:bCs/>
          <w:color w:val="000000" w:themeColor="text1"/>
        </w:rPr>
        <w:t>.</w:t>
      </w:r>
      <w:r w:rsidRPr="007E0D74">
        <w:rPr>
          <w:color w:val="000000" w:themeColor="text1"/>
        </w:rPr>
        <w:t xml:space="preserve"> </w:t>
      </w:r>
      <w:r>
        <w:t>Drawing</w:t>
      </w:r>
      <w:r w:rsidR="00EB1D43">
        <w:t>s</w:t>
      </w:r>
      <w:r w:rsidRPr="00FB74CB">
        <w:t xml:space="preserve"> of the </w:t>
      </w:r>
      <w:r>
        <w:t xml:space="preserve">flow cell </w:t>
      </w:r>
      <w:r w:rsidRPr="00FB74CB">
        <w:t xml:space="preserve">made by subtractive manufacturing </w:t>
      </w:r>
      <w:r>
        <w:t>and the enclosure</w:t>
      </w:r>
      <w:r w:rsidR="009A74A7">
        <w:t xml:space="preserve"> (1)</w:t>
      </w:r>
      <w:r>
        <w:t xml:space="preserve"> made by </w:t>
      </w:r>
      <w:r w:rsidRPr="00FB74CB">
        <w:t>additive manufacturing</w:t>
      </w:r>
      <w:r>
        <w:t>, including the CMOS camera setup</w:t>
      </w:r>
      <w:r w:rsidRPr="00FB74CB">
        <w:t xml:space="preserve"> (Solid Edge)</w:t>
      </w:r>
      <w:r>
        <w:t>.</w:t>
      </w:r>
    </w:p>
    <w:p w14:paraId="77AE2FD1" w14:textId="6EE38608" w:rsidR="00D53781" w:rsidRDefault="00D53781">
      <w:pPr>
        <w:spacing w:line="240" w:lineRule="auto"/>
        <w:jc w:val="left"/>
      </w:pPr>
    </w:p>
    <w:p w14:paraId="477A3B13" w14:textId="14056FD5" w:rsidR="006F2639" w:rsidRDefault="00D53781" w:rsidP="00A77339">
      <w:pPr>
        <w:pStyle w:val="MDPI51figurecaption"/>
        <w:ind w:left="0"/>
      </w:pPr>
      <w:r w:rsidRPr="007E0D74">
        <w:rPr>
          <w:b/>
          <w:bCs/>
          <w:noProof/>
        </w:rPr>
        <w:drawing>
          <wp:anchor distT="0" distB="0" distL="114300" distR="114300" simplePos="0" relativeHeight="251683840" behindDoc="0" locked="0" layoutInCell="1" allowOverlap="1" wp14:anchorId="318ECEB1" wp14:editId="1B73C72D">
            <wp:simplePos x="0" y="0"/>
            <wp:positionH relativeFrom="margin">
              <wp:posOffset>1703070</wp:posOffset>
            </wp:positionH>
            <wp:positionV relativeFrom="paragraph">
              <wp:posOffset>0</wp:posOffset>
            </wp:positionV>
            <wp:extent cx="3240000" cy="1376877"/>
            <wp:effectExtent l="0" t="0" r="0" b="0"/>
            <wp:wrapTopAndBottom/>
            <wp:docPr id="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3240000" cy="1376877"/>
                    </a:xfrm>
                    <a:prstGeom prst="rect">
                      <a:avLst/>
                    </a:prstGeom>
                  </pic:spPr>
                </pic:pic>
              </a:graphicData>
            </a:graphic>
            <wp14:sizeRelH relativeFrom="margin">
              <wp14:pctWidth>0</wp14:pctWidth>
            </wp14:sizeRelH>
            <wp14:sizeRelV relativeFrom="margin">
              <wp14:pctHeight>0</wp14:pctHeight>
            </wp14:sizeRelV>
          </wp:anchor>
        </w:drawing>
      </w:r>
      <w:r w:rsidR="006F2639" w:rsidRPr="007E0D74">
        <w:rPr>
          <w:b/>
          <w:bCs/>
        </w:rPr>
        <w:t xml:space="preserve">Figure </w:t>
      </w:r>
      <w:r w:rsidR="006F2639" w:rsidRPr="007E0D74">
        <w:rPr>
          <w:b/>
          <w:bCs/>
          <w:color w:val="000000" w:themeColor="text1"/>
        </w:rPr>
        <w:t>S</w:t>
      </w:r>
      <w:r w:rsidR="00D966B0">
        <w:rPr>
          <w:b/>
          <w:bCs/>
          <w:color w:val="000000" w:themeColor="text1"/>
        </w:rPr>
        <w:t>9</w:t>
      </w:r>
      <w:r w:rsidR="006F2639" w:rsidRPr="007E0D74">
        <w:rPr>
          <w:b/>
          <w:bCs/>
          <w:color w:val="000000" w:themeColor="text1"/>
        </w:rPr>
        <w:t>.</w:t>
      </w:r>
      <w:r w:rsidR="006F2639" w:rsidRPr="007E0D74">
        <w:rPr>
          <w:color w:val="000000" w:themeColor="text1"/>
        </w:rPr>
        <w:t xml:space="preserve"> </w:t>
      </w:r>
      <w:r w:rsidR="006F2639">
        <w:t>Drawing</w:t>
      </w:r>
      <w:r w:rsidR="006F2639" w:rsidRPr="00FB74CB">
        <w:t xml:space="preserve"> of the </w:t>
      </w:r>
      <w:bookmarkStart w:id="1" w:name="_Hlk122076769"/>
      <w:r w:rsidR="006F2639">
        <w:t xml:space="preserve">pearl-chain mixer chip (658) </w:t>
      </w:r>
      <w:bookmarkEnd w:id="1"/>
      <w:r w:rsidR="006F2639">
        <w:t>ordered from microfluidic</w:t>
      </w:r>
      <w:r w:rsidR="000A794F">
        <w:t xml:space="preserve"> </w:t>
      </w:r>
      <w:proofErr w:type="spellStart"/>
      <w:r w:rsidR="006F2639">
        <w:t>ChipShop</w:t>
      </w:r>
      <w:proofErr w:type="spellEnd"/>
      <w:r w:rsidR="000A794F">
        <w:t xml:space="preserve"> (Reproduced with courtesy of microfluidic </w:t>
      </w:r>
      <w:proofErr w:type="spellStart"/>
      <w:r w:rsidR="000A794F">
        <w:t>ChipShop</w:t>
      </w:r>
      <w:proofErr w:type="spellEnd"/>
      <w:r w:rsidR="000A794F">
        <w:t>).</w:t>
      </w:r>
    </w:p>
    <w:p w14:paraId="088E2C48" w14:textId="2F5B2409" w:rsidR="00CD35BE" w:rsidRDefault="00D53781" w:rsidP="00CD35BE">
      <w:pPr>
        <w:pStyle w:val="MDPI21heading1"/>
        <w:ind w:left="0"/>
      </w:pPr>
      <w:r>
        <w:rPr>
          <w:noProof/>
          <w:snapToGrid/>
        </w:rPr>
        <w:lastRenderedPageBreak/>
        <w:drawing>
          <wp:anchor distT="0" distB="0" distL="114300" distR="114300" simplePos="0" relativeHeight="251671552" behindDoc="0" locked="0" layoutInCell="1" allowOverlap="1" wp14:anchorId="7047DBAC" wp14:editId="43ACC750">
            <wp:simplePos x="0" y="0"/>
            <wp:positionH relativeFrom="margin">
              <wp:posOffset>1882140</wp:posOffset>
            </wp:positionH>
            <wp:positionV relativeFrom="paragraph">
              <wp:posOffset>360680</wp:posOffset>
            </wp:positionV>
            <wp:extent cx="2880000" cy="2880000"/>
            <wp:effectExtent l="0" t="0" r="0" b="0"/>
            <wp:wrapTopAndBottom/>
            <wp:docPr id="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880000" cy="2880000"/>
                    </a:xfrm>
                    <a:prstGeom prst="rect">
                      <a:avLst/>
                    </a:prstGeom>
                    <a:noFill/>
                    <a:ln>
                      <a:noFill/>
                    </a:ln>
                  </pic:spPr>
                </pic:pic>
              </a:graphicData>
            </a:graphic>
            <wp14:sizeRelH relativeFrom="page">
              <wp14:pctWidth>0</wp14:pctWidth>
            </wp14:sizeRelH>
            <wp14:sizeRelV relativeFrom="page">
              <wp14:pctHeight>0</wp14:pctHeight>
            </wp14:sizeRelV>
          </wp:anchor>
        </w:drawing>
      </w:r>
      <w:r w:rsidR="00CD35BE">
        <w:t>Optical Read</w:t>
      </w:r>
      <w:r w:rsidR="00EB1D43">
        <w:t>o</w:t>
      </w:r>
      <w:r w:rsidR="00CD35BE">
        <w:t>ut Biosensor</w:t>
      </w:r>
    </w:p>
    <w:p w14:paraId="34803F90" w14:textId="3320DC27" w:rsidR="00CD35BE" w:rsidRDefault="00D53781" w:rsidP="00A77339">
      <w:pPr>
        <w:pStyle w:val="MDPI51figurecaption"/>
        <w:ind w:left="0"/>
      </w:pPr>
      <w:r w:rsidRPr="007E0D74">
        <w:rPr>
          <w:b/>
          <w:bCs/>
          <w:noProof/>
          <w:color w:val="000000" w:themeColor="text1"/>
        </w:rPr>
        <w:drawing>
          <wp:anchor distT="0" distB="0" distL="114300" distR="114300" simplePos="0" relativeHeight="251673600" behindDoc="0" locked="0" layoutInCell="1" allowOverlap="1" wp14:anchorId="6FA5B3E2" wp14:editId="17E3DBCB">
            <wp:simplePos x="0" y="0"/>
            <wp:positionH relativeFrom="margin">
              <wp:posOffset>1703070</wp:posOffset>
            </wp:positionH>
            <wp:positionV relativeFrom="paragraph">
              <wp:posOffset>3488690</wp:posOffset>
            </wp:positionV>
            <wp:extent cx="3240000" cy="2080991"/>
            <wp:effectExtent l="0" t="0" r="0" b="0"/>
            <wp:wrapTopAndBottom/>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3"/>
                    <a:srcRect r="50067"/>
                    <a:stretch/>
                  </pic:blipFill>
                  <pic:spPr bwMode="auto">
                    <a:xfrm>
                      <a:off x="0" y="0"/>
                      <a:ext cx="3240000" cy="2080991"/>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EE6AFA" w:rsidRPr="007E0D74">
        <w:rPr>
          <w:b/>
          <w:bCs/>
          <w:color w:val="000000" w:themeColor="text1"/>
        </w:rPr>
        <w:t>Figure S</w:t>
      </w:r>
      <w:r w:rsidR="007E0D74" w:rsidRPr="007E0D74">
        <w:rPr>
          <w:b/>
          <w:bCs/>
          <w:color w:val="000000" w:themeColor="text1"/>
        </w:rPr>
        <w:t>1</w:t>
      </w:r>
      <w:r w:rsidR="00D966B0">
        <w:rPr>
          <w:b/>
          <w:bCs/>
          <w:color w:val="000000" w:themeColor="text1"/>
        </w:rPr>
        <w:t>0</w:t>
      </w:r>
      <w:r w:rsidR="00EE6AFA" w:rsidRPr="007E0D74">
        <w:rPr>
          <w:b/>
          <w:bCs/>
          <w:color w:val="000000" w:themeColor="text1"/>
        </w:rPr>
        <w:t>.</w:t>
      </w:r>
      <w:r w:rsidR="00EE6AFA" w:rsidRPr="007E0D74">
        <w:rPr>
          <w:color w:val="000000" w:themeColor="text1"/>
        </w:rPr>
        <w:t xml:space="preserve"> </w:t>
      </w:r>
      <w:r w:rsidR="00EE6AFA">
        <w:t>Top view QHY 174 mono CMOS with a planoconcave lens (12 mm focal length</w:t>
      </w:r>
      <w:r w:rsidR="000A794F" w:rsidRPr="00327F4C">
        <w:t xml:space="preserve">, </w:t>
      </w:r>
      <w:r w:rsidR="000A794F" w:rsidRPr="00327F4C">
        <w:sym w:font="Symbol" w:char="F0C6"/>
      </w:r>
      <w:r w:rsidR="000A794F" w:rsidRPr="00327F4C">
        <w:t xml:space="preserve"> </w:t>
      </w:r>
      <w:r w:rsidR="00327F4C" w:rsidRPr="00327F4C">
        <w:t>9</w:t>
      </w:r>
      <w:r w:rsidR="000A794F" w:rsidRPr="00327F4C">
        <w:t xml:space="preserve"> mm</w:t>
      </w:r>
      <w:r w:rsidR="00EE6AFA">
        <w:t xml:space="preserve">) positioned on top of the </w:t>
      </w:r>
      <w:r w:rsidR="00EE6AFA" w:rsidRPr="00EE6AFA">
        <w:t xml:space="preserve">protective glass of the </w:t>
      </w:r>
      <w:r w:rsidR="00EE6AFA">
        <w:t>s</w:t>
      </w:r>
      <w:r w:rsidR="00CC3CA7">
        <w:t xml:space="preserve">eparate </w:t>
      </w:r>
      <w:r w:rsidR="00EE6AFA" w:rsidRPr="00EE6AFA">
        <w:t>CMOS</w:t>
      </w:r>
      <w:r w:rsidR="00EE6AFA">
        <w:t xml:space="preserve"> chamber.</w:t>
      </w:r>
    </w:p>
    <w:p w14:paraId="1B5EEF10" w14:textId="40802345" w:rsidR="00B3394C" w:rsidRDefault="00CC3CA7" w:rsidP="00A77339">
      <w:pPr>
        <w:pStyle w:val="MDPI51figurecaption"/>
        <w:ind w:left="0"/>
      </w:pPr>
      <w:r w:rsidRPr="007E0D74">
        <w:rPr>
          <w:b/>
          <w:bCs/>
          <w:color w:val="000000" w:themeColor="text1"/>
        </w:rPr>
        <w:t>Figure S</w:t>
      </w:r>
      <w:r w:rsidR="007E0D74" w:rsidRPr="007E0D74">
        <w:rPr>
          <w:b/>
          <w:bCs/>
          <w:color w:val="000000" w:themeColor="text1"/>
        </w:rPr>
        <w:t>1</w:t>
      </w:r>
      <w:r w:rsidR="00D966B0">
        <w:rPr>
          <w:b/>
          <w:bCs/>
          <w:color w:val="000000" w:themeColor="text1"/>
        </w:rPr>
        <w:t>1</w:t>
      </w:r>
      <w:r w:rsidRPr="007E0D74">
        <w:rPr>
          <w:b/>
          <w:bCs/>
          <w:color w:val="000000" w:themeColor="text1"/>
        </w:rPr>
        <w:t>.</w:t>
      </w:r>
      <w:r w:rsidRPr="007E0D74">
        <w:rPr>
          <w:color w:val="000000" w:themeColor="text1"/>
        </w:rPr>
        <w:t xml:space="preserve"> </w:t>
      </w:r>
      <w:r w:rsidR="00856707">
        <w:t xml:space="preserve">Images of the CMOS with </w:t>
      </w:r>
      <w:r w:rsidR="003C6726">
        <w:t>2x2 pixel binning resulting in an image</w:t>
      </w:r>
      <w:r w:rsidR="00856707">
        <w:t xml:space="preserve"> size of 900x600 </w:t>
      </w:r>
      <w:proofErr w:type="spellStart"/>
      <w:r w:rsidR="00856707">
        <w:t>px</w:t>
      </w:r>
      <w:proofErr w:type="spellEnd"/>
      <w:r w:rsidR="00856707">
        <w:t>. Highlighted region of interest (ROI, 640x600 </w:t>
      </w:r>
      <w:proofErr w:type="spellStart"/>
      <w:r w:rsidR="00856707">
        <w:t>px</w:t>
      </w:r>
      <w:proofErr w:type="spellEnd"/>
      <w:r w:rsidR="00956226">
        <w:t xml:space="preserve">; ROI file for script.py can be found in the supplementary materials </w:t>
      </w:r>
      <w:r w:rsidR="00B472CF">
        <w:t>named</w:t>
      </w:r>
      <w:r w:rsidR="00956226">
        <w:t xml:space="preserve">: </w:t>
      </w:r>
      <w:r w:rsidR="00956226" w:rsidRPr="00956226">
        <w:t>roi_region_x_y</w:t>
      </w:r>
      <w:r w:rsidR="00956226">
        <w:t xml:space="preserve">.txt, as well as the hot pixels file: </w:t>
      </w:r>
      <w:r w:rsidR="00956226" w:rsidRPr="00956226">
        <w:t>hotpixels_960_600</w:t>
      </w:r>
      <w:r w:rsidR="00956226">
        <w:t>.txt</w:t>
      </w:r>
      <w:r w:rsidR="00856707">
        <w:t>) for the biosensor measurements with an exposure time of 15 sec</w:t>
      </w:r>
      <w:r w:rsidR="007F1204">
        <w:t>.</w:t>
      </w:r>
    </w:p>
    <w:p w14:paraId="03996B1C" w14:textId="790A885B" w:rsidR="00CE5D7D" w:rsidRDefault="00CE5D7D">
      <w:pPr>
        <w:spacing w:line="240" w:lineRule="auto"/>
        <w:jc w:val="left"/>
        <w:rPr>
          <w:rFonts w:eastAsia="Times New Roman"/>
          <w:noProof w:val="0"/>
          <w:sz w:val="18"/>
          <w:lang w:eastAsia="de-DE" w:bidi="en-US"/>
        </w:rPr>
      </w:pPr>
      <w:r>
        <w:br w:type="page"/>
      </w:r>
    </w:p>
    <w:p w14:paraId="0E2CE268" w14:textId="70B4BBA6" w:rsidR="00A83A1C" w:rsidRDefault="00CE5D7D" w:rsidP="00CE5D7D">
      <w:pPr>
        <w:pStyle w:val="MDPI21heading1"/>
        <w:ind w:left="0"/>
        <w:rPr>
          <w:lang w:eastAsia="zh-CN"/>
        </w:rPr>
      </w:pPr>
      <w:r>
        <w:rPr>
          <w:lang w:eastAsia="zh-CN"/>
        </w:rPr>
        <w:lastRenderedPageBreak/>
        <w:t>Measurement of recombinant cTnI</w:t>
      </w:r>
    </w:p>
    <w:p w14:paraId="0AF0CF1A" w14:textId="3A08DD3D" w:rsidR="009435A7" w:rsidRDefault="009435A7" w:rsidP="00CE5D7D">
      <w:pPr>
        <w:pStyle w:val="MDPI21heading1"/>
        <w:ind w:left="0"/>
        <w:rPr>
          <w:lang w:eastAsia="zh-CN"/>
        </w:rPr>
      </w:pPr>
      <w:r w:rsidRPr="00A83A1C">
        <w:rPr>
          <w:noProof/>
        </w:rPr>
        <w:drawing>
          <wp:anchor distT="0" distB="0" distL="114300" distR="114300" simplePos="0" relativeHeight="251689301" behindDoc="0" locked="0" layoutInCell="1" allowOverlap="1" wp14:anchorId="76B68C99" wp14:editId="349E280F">
            <wp:simplePos x="0" y="0"/>
            <wp:positionH relativeFrom="margin">
              <wp:posOffset>1535430</wp:posOffset>
            </wp:positionH>
            <wp:positionV relativeFrom="paragraph">
              <wp:posOffset>365760</wp:posOffset>
            </wp:positionV>
            <wp:extent cx="3763010" cy="2879725"/>
            <wp:effectExtent l="0" t="0" r="8890" b="0"/>
            <wp:wrapTopAndBottom/>
            <wp:docPr id="5"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3763010" cy="2879725"/>
                    </a:xfrm>
                    <a:prstGeom prst="rect">
                      <a:avLst/>
                    </a:prstGeom>
                  </pic:spPr>
                </pic:pic>
              </a:graphicData>
            </a:graphic>
            <wp14:sizeRelH relativeFrom="margin">
              <wp14:pctWidth>0</wp14:pctWidth>
            </wp14:sizeRelH>
            <wp14:sizeRelV relativeFrom="margin">
              <wp14:pctHeight>0</wp14:pctHeight>
            </wp14:sizeRelV>
          </wp:anchor>
        </w:drawing>
      </w:r>
    </w:p>
    <w:p w14:paraId="241DFD2D" w14:textId="64B60F7B" w:rsidR="00CE5D7D" w:rsidRDefault="00A83A1C" w:rsidP="00CC3CA7">
      <w:pPr>
        <w:pStyle w:val="MDPI51figurecaption"/>
        <w:ind w:left="0"/>
      </w:pPr>
      <w:r w:rsidRPr="007E0D74">
        <w:rPr>
          <w:b/>
          <w:bCs/>
          <w:color w:val="000000" w:themeColor="text1"/>
        </w:rPr>
        <w:t>Figure S</w:t>
      </w:r>
      <w:r w:rsidR="007E0D74" w:rsidRPr="007E0D74">
        <w:rPr>
          <w:b/>
          <w:bCs/>
          <w:color w:val="000000" w:themeColor="text1"/>
        </w:rPr>
        <w:t>1</w:t>
      </w:r>
      <w:r w:rsidR="00D966B0">
        <w:rPr>
          <w:b/>
          <w:bCs/>
          <w:color w:val="000000" w:themeColor="text1"/>
        </w:rPr>
        <w:t>2</w:t>
      </w:r>
      <w:r w:rsidRPr="007E0D74">
        <w:rPr>
          <w:color w:val="000000" w:themeColor="text1"/>
        </w:rPr>
        <w:t xml:space="preserve">. </w:t>
      </w:r>
      <w:r w:rsidR="000A794F">
        <w:t>C</w:t>
      </w:r>
      <w:r>
        <w:t>alibration of recombinant Troponin I in PBST-BSA in the lower concentration range. Injection of cTnI in different concentrations: 0, 2, 4, 6, 8, 10, 12, 14, 16 µg/L.</w:t>
      </w:r>
    </w:p>
    <w:p w14:paraId="2B5760E6" w14:textId="28C0A4EE" w:rsidR="00A83A1C" w:rsidRDefault="00A03C71" w:rsidP="00CD3C3C">
      <w:pPr>
        <w:pStyle w:val="MDPI21heading1"/>
        <w:ind w:left="0"/>
      </w:pPr>
      <w:r w:rsidRPr="00A03C71">
        <w:rPr>
          <w:noProof/>
        </w:rPr>
        <w:drawing>
          <wp:anchor distT="0" distB="0" distL="114300" distR="114300" simplePos="0" relativeHeight="251689642" behindDoc="0" locked="0" layoutInCell="1" allowOverlap="1" wp14:anchorId="4FE1754B" wp14:editId="32739A3F">
            <wp:simplePos x="0" y="0"/>
            <wp:positionH relativeFrom="column">
              <wp:posOffset>1539240</wp:posOffset>
            </wp:positionH>
            <wp:positionV relativeFrom="paragraph">
              <wp:posOffset>481965</wp:posOffset>
            </wp:positionV>
            <wp:extent cx="3762375" cy="2879725"/>
            <wp:effectExtent l="0" t="0" r="9525" b="0"/>
            <wp:wrapTopAndBottom/>
            <wp:docPr id="7"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3762375" cy="2879725"/>
                    </a:xfrm>
                    <a:prstGeom prst="rect">
                      <a:avLst/>
                    </a:prstGeom>
                  </pic:spPr>
                </pic:pic>
              </a:graphicData>
            </a:graphic>
            <wp14:sizeRelH relativeFrom="margin">
              <wp14:pctWidth>0</wp14:pctWidth>
            </wp14:sizeRelH>
            <wp14:sizeRelV relativeFrom="margin">
              <wp14:pctHeight>0</wp14:pctHeight>
            </wp14:sizeRelV>
          </wp:anchor>
        </w:drawing>
      </w:r>
      <w:r w:rsidR="00CD3C3C">
        <w:t xml:space="preserve">Autofluorescence of </w:t>
      </w:r>
      <w:r w:rsidR="00BA71EF">
        <w:t>B</w:t>
      </w:r>
      <w:r w:rsidR="00CD3C3C">
        <w:t xml:space="preserve">lood </w:t>
      </w:r>
      <w:r w:rsidR="00BA71EF">
        <w:t>P</w:t>
      </w:r>
      <w:r w:rsidR="00CD3C3C">
        <w:t>lasma</w:t>
      </w:r>
    </w:p>
    <w:p w14:paraId="4D3E6AD2" w14:textId="1FCA472E" w:rsidR="009435A7" w:rsidRDefault="009435A7" w:rsidP="00CD3C3C">
      <w:pPr>
        <w:pStyle w:val="MDPI21heading1"/>
        <w:ind w:left="0"/>
      </w:pPr>
    </w:p>
    <w:p w14:paraId="3F494925" w14:textId="07CAD960" w:rsidR="00A83A1C" w:rsidRPr="00CC3CA7" w:rsidRDefault="00CD3C3C" w:rsidP="009435A7">
      <w:pPr>
        <w:pStyle w:val="MDPI51figurecaption"/>
        <w:ind w:left="0"/>
      </w:pPr>
      <w:r w:rsidRPr="00CD3C3C">
        <w:rPr>
          <w:b/>
          <w:bCs/>
        </w:rPr>
        <w:t>Figure S13.</w:t>
      </w:r>
      <w:r>
        <w:t xml:space="preserve"> </w:t>
      </w:r>
      <w:bookmarkStart w:id="2" w:name="_Hlk125363989"/>
      <w:r>
        <w:t xml:space="preserve">Autofluorescence measurement of blood plasma with the previously described biosensor setup </w:t>
      </w:r>
      <w:bookmarkEnd w:id="2"/>
      <w:r>
        <w:t>[</w:t>
      </w:r>
      <w:r w:rsidR="009435A7" w:rsidRPr="009435A7">
        <w:rPr>
          <w:color w:val="000000" w:themeColor="text1"/>
        </w:rPr>
        <w:t>10</w:t>
      </w:r>
      <w:r>
        <w:t>]. Lyophilized blood plasma was reconstituted and diluted in ultra-pure water.</w:t>
      </w:r>
      <w:r w:rsidR="00F135E8">
        <w:t xml:space="preserve"> Then,</w:t>
      </w:r>
      <w:r>
        <w:t xml:space="preserve"> 500 µL of different plasma dilutions were injected into the system via </w:t>
      </w:r>
      <w:r w:rsidR="009435A7">
        <w:t xml:space="preserve">a </w:t>
      </w:r>
      <w:r>
        <w:t>six-way valve (without affinity column)</w:t>
      </w:r>
      <w:r w:rsidR="00F135E8">
        <w:t>,</w:t>
      </w:r>
      <w:r>
        <w:t xml:space="preserve"> and the fluorescence was detected continuously (5 sec per frame). A semiconductor laser with a wavelength of approx. 638 nm</w:t>
      </w:r>
      <w:r w:rsidR="009435A7">
        <w:t xml:space="preserve"> was used</w:t>
      </w:r>
      <w:r w:rsidR="00F135E8">
        <w:t>,</w:t>
      </w:r>
      <w:r w:rsidR="009435A7">
        <w:t xml:space="preserve"> and two stacked long-pass filters and a dichroitic mirror removed light under 650 nm and allowed only the fluorescence to reach the detector. The higher the </w:t>
      </w:r>
      <w:r w:rsidR="00F135E8">
        <w:t>blood plasma concentration</w:t>
      </w:r>
      <w:r w:rsidR="009435A7">
        <w:t>, the higher the fluorescence signal, which indicates an unspecific signal increase due to autofluorescence.</w:t>
      </w:r>
    </w:p>
    <w:sectPr w:rsidR="00A83A1C" w:rsidRPr="00CC3CA7" w:rsidSect="00164CB0">
      <w:headerReference w:type="even" r:id="rId26"/>
      <w:headerReference w:type="default" r:id="rId27"/>
      <w:headerReference w:type="first" r:id="rId28"/>
      <w:footerReference w:type="first" r:id="rId29"/>
      <w:pgSz w:w="11906" w:h="16838" w:code="9"/>
      <w:pgMar w:top="1417" w:right="720" w:bottom="1077" w:left="720" w:header="1020" w:footer="340" w:gutter="0"/>
      <w:lnNumType w:countBy="1" w:distance="255" w:restart="continuous"/>
      <w:pgNumType w:start="1"/>
      <w:cols w:space="425"/>
      <w:titlePg/>
      <w:bidi/>
      <w:docGrid w:type="lines"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033F754" w14:textId="77777777" w:rsidR="009A774E" w:rsidRDefault="009A774E">
      <w:pPr>
        <w:spacing w:line="240" w:lineRule="auto"/>
      </w:pPr>
      <w:r>
        <w:separator/>
      </w:r>
    </w:p>
  </w:endnote>
  <w:endnote w:type="continuationSeparator" w:id="0">
    <w:p w14:paraId="007AB751" w14:textId="77777777" w:rsidR="009A774E" w:rsidRDefault="009A774E">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Palatino Linotype">
    <w:panose1 w:val="02040502050505030304"/>
    <w:charset w:val="00"/>
    <w:family w:val="roman"/>
    <w:pitch w:val="variable"/>
    <w:sig w:usb0="E0000287" w:usb1="40000013" w:usb2="00000000" w:usb3="00000000" w:csb0="0000019F" w:csb1="00000000"/>
  </w:font>
  <w:font w:name="Cordia New">
    <w:panose1 w:val="020B0304020202020204"/>
    <w:charset w:val="DE"/>
    <w:family w:val="swiss"/>
    <w:pitch w:val="variable"/>
    <w:sig w:usb0="81000003" w:usb1="00000000" w:usb2="00000000" w:usb3="00000000" w:csb0="00010001" w:csb1="00000000"/>
  </w:font>
  <w:font w:name="Tahoma">
    <w:panose1 w:val="020B0604030504040204"/>
    <w:charset w:val="00"/>
    <w:family w:val="swiss"/>
    <w:pitch w:val="variable"/>
    <w:sig w:usb0="E1002EFF" w:usb1="C000605B" w:usb2="00000029" w:usb3="00000000" w:csb0="000101FF" w:csb1="00000000"/>
  </w:font>
  <w:font w:name="DengXian">
    <w:altName w:val="Microsoft YaHei"/>
    <w:panose1 w:val="02010600030101010101"/>
    <w:charset w:val="86"/>
    <w:family w:val="auto"/>
    <w:pitch w:val="variable"/>
    <w:sig w:usb0="A00002BF" w:usb1="38CF7CFA" w:usb2="00000016" w:usb3="00000000" w:csb0="0004000F" w:csb1="00000000"/>
  </w:font>
  <w:font w:name="DengXian Light">
    <w:altName w:val="Microsoft YaHei"/>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7FF997" w14:textId="77777777" w:rsidR="00AD214A" w:rsidRDefault="00AD214A" w:rsidP="00D2027A">
    <w:pPr>
      <w:pBdr>
        <w:top w:val="single" w:sz="4" w:space="0" w:color="000000"/>
      </w:pBdr>
      <w:tabs>
        <w:tab w:val="right" w:pos="8844"/>
      </w:tabs>
      <w:adjustRightInd w:val="0"/>
      <w:snapToGrid w:val="0"/>
      <w:spacing w:before="480" w:line="100" w:lineRule="exact"/>
      <w:jc w:val="left"/>
      <w:rPr>
        <w:i/>
        <w:sz w:val="16"/>
        <w:szCs w:val="16"/>
      </w:rPr>
    </w:pPr>
  </w:p>
  <w:p w14:paraId="0497037B" w14:textId="77777777" w:rsidR="00F34020" w:rsidRPr="00372FCD" w:rsidRDefault="00F34020" w:rsidP="00672DBB">
    <w:pPr>
      <w:tabs>
        <w:tab w:val="right" w:pos="10466"/>
      </w:tabs>
      <w:adjustRightInd w:val="0"/>
      <w:snapToGrid w:val="0"/>
      <w:spacing w:line="240" w:lineRule="auto"/>
      <w:rPr>
        <w:sz w:val="16"/>
        <w:szCs w:val="16"/>
        <w:lang w:val="fr-CH"/>
      </w:rPr>
    </w:pPr>
    <w:r w:rsidRPr="00EE4FE9">
      <w:rPr>
        <w:i/>
        <w:sz w:val="16"/>
        <w:szCs w:val="16"/>
      </w:rPr>
      <w:t>Biosensors</w:t>
    </w:r>
    <w:r>
      <w:rPr>
        <w:i/>
        <w:sz w:val="16"/>
        <w:szCs w:val="16"/>
      </w:rPr>
      <w:t xml:space="preserve"> </w:t>
    </w:r>
    <w:r w:rsidR="00775A02">
      <w:rPr>
        <w:b/>
        <w:bCs/>
        <w:iCs/>
        <w:sz w:val="16"/>
        <w:szCs w:val="16"/>
      </w:rPr>
      <w:t>2022</w:t>
    </w:r>
    <w:r w:rsidR="00961819" w:rsidRPr="00961819">
      <w:rPr>
        <w:bCs/>
        <w:iCs/>
        <w:sz w:val="16"/>
        <w:szCs w:val="16"/>
      </w:rPr>
      <w:t>,</w:t>
    </w:r>
    <w:r w:rsidR="00775A02">
      <w:rPr>
        <w:bCs/>
        <w:i/>
        <w:iCs/>
        <w:sz w:val="16"/>
        <w:szCs w:val="16"/>
      </w:rPr>
      <w:t xml:space="preserve"> 12</w:t>
    </w:r>
    <w:r w:rsidR="00961819" w:rsidRPr="00961819">
      <w:rPr>
        <w:bCs/>
        <w:iCs/>
        <w:sz w:val="16"/>
        <w:szCs w:val="16"/>
      </w:rPr>
      <w:t xml:space="preserve">, </w:t>
    </w:r>
    <w:r w:rsidR="00DB2A62">
      <w:rPr>
        <w:bCs/>
        <w:iCs/>
        <w:sz w:val="16"/>
        <w:szCs w:val="16"/>
      </w:rPr>
      <w:t>x</w:t>
    </w:r>
    <w:r w:rsidR="00AD214A">
      <w:rPr>
        <w:bCs/>
        <w:iCs/>
        <w:sz w:val="16"/>
        <w:szCs w:val="16"/>
      </w:rPr>
      <w:t>. https://doi.org/10.3390/xxxxx</w:t>
    </w:r>
    <w:r w:rsidR="00672DBB" w:rsidRPr="00372FCD">
      <w:rPr>
        <w:sz w:val="16"/>
        <w:szCs w:val="16"/>
        <w:lang w:val="fr-CH"/>
      </w:rPr>
      <w:tab/>
    </w:r>
    <w:r w:rsidRPr="00372FCD">
      <w:rPr>
        <w:sz w:val="16"/>
        <w:szCs w:val="16"/>
        <w:lang w:val="fr-CH"/>
      </w:rPr>
      <w:t>www.mdpi.com/journal/</w:t>
    </w:r>
    <w:r w:rsidRPr="00EE4FE9">
      <w:rPr>
        <w:sz w:val="16"/>
        <w:szCs w:val="16"/>
      </w:rPr>
      <w:t>biosensors</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764ED8C" w14:textId="77777777" w:rsidR="009A774E" w:rsidRDefault="009A774E">
      <w:pPr>
        <w:spacing w:line="240" w:lineRule="auto"/>
      </w:pPr>
      <w:r>
        <w:separator/>
      </w:r>
    </w:p>
  </w:footnote>
  <w:footnote w:type="continuationSeparator" w:id="0">
    <w:p w14:paraId="61DB69C8" w14:textId="77777777" w:rsidR="009A774E" w:rsidRDefault="009A774E">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B21210C" w14:textId="77777777" w:rsidR="00F34020" w:rsidRDefault="00F34020" w:rsidP="00F34020">
    <w:pPr>
      <w:pStyle w:val="Kopfzeile"/>
      <w:pBdr>
        <w:bottom w:val="none" w:sz="0" w:space="0" w:color="auto"/>
      </w:pBd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AA1CD46" w14:textId="77777777" w:rsidR="00AD214A" w:rsidRDefault="00F34020" w:rsidP="00672DBB">
    <w:pPr>
      <w:tabs>
        <w:tab w:val="right" w:pos="10466"/>
      </w:tabs>
      <w:adjustRightInd w:val="0"/>
      <w:snapToGrid w:val="0"/>
      <w:spacing w:line="240" w:lineRule="auto"/>
      <w:rPr>
        <w:sz w:val="16"/>
      </w:rPr>
    </w:pPr>
    <w:r>
      <w:rPr>
        <w:i/>
        <w:sz w:val="16"/>
      </w:rPr>
      <w:t xml:space="preserve">Biosensors </w:t>
    </w:r>
    <w:r w:rsidR="00775A02">
      <w:rPr>
        <w:b/>
        <w:sz w:val="16"/>
      </w:rPr>
      <w:t>2022</w:t>
    </w:r>
    <w:r w:rsidR="00961819" w:rsidRPr="00961819">
      <w:rPr>
        <w:sz w:val="16"/>
      </w:rPr>
      <w:t>,</w:t>
    </w:r>
    <w:r w:rsidR="00775A02">
      <w:rPr>
        <w:i/>
        <w:sz w:val="16"/>
      </w:rPr>
      <w:t xml:space="preserve"> 12</w:t>
    </w:r>
    <w:r w:rsidR="00DB2A62">
      <w:rPr>
        <w:sz w:val="16"/>
      </w:rPr>
      <w:t>, x FOR PEER REVIEW</w:t>
    </w:r>
    <w:r w:rsidR="00672DBB">
      <w:rPr>
        <w:sz w:val="16"/>
      </w:rPr>
      <w:tab/>
    </w:r>
    <w:r w:rsidR="00DB2A62">
      <w:rPr>
        <w:sz w:val="16"/>
      </w:rPr>
      <w:fldChar w:fldCharType="begin"/>
    </w:r>
    <w:r w:rsidR="00DB2A62">
      <w:rPr>
        <w:sz w:val="16"/>
      </w:rPr>
      <w:instrText xml:space="preserve"> PAGE   \* MERGEFORMAT </w:instrText>
    </w:r>
    <w:r w:rsidR="00DB2A62">
      <w:rPr>
        <w:sz w:val="16"/>
      </w:rPr>
      <w:fldChar w:fldCharType="separate"/>
    </w:r>
    <w:r w:rsidR="009E0F52">
      <w:rPr>
        <w:sz w:val="16"/>
      </w:rPr>
      <w:t>5</w:t>
    </w:r>
    <w:r w:rsidR="00DB2A62">
      <w:rPr>
        <w:sz w:val="16"/>
      </w:rPr>
      <w:fldChar w:fldCharType="end"/>
    </w:r>
    <w:r w:rsidR="00DB2A62">
      <w:rPr>
        <w:sz w:val="16"/>
      </w:rPr>
      <w:t xml:space="preserve"> of </w:t>
    </w:r>
    <w:r w:rsidR="00DB2A62">
      <w:rPr>
        <w:sz w:val="16"/>
      </w:rPr>
      <w:fldChar w:fldCharType="begin"/>
    </w:r>
    <w:r w:rsidR="00DB2A62">
      <w:rPr>
        <w:sz w:val="16"/>
      </w:rPr>
      <w:instrText xml:space="preserve"> NUMPAGES   \* MERGEFORMAT </w:instrText>
    </w:r>
    <w:r w:rsidR="00DB2A62">
      <w:rPr>
        <w:sz w:val="16"/>
      </w:rPr>
      <w:fldChar w:fldCharType="separate"/>
    </w:r>
    <w:r w:rsidR="009E0F52">
      <w:rPr>
        <w:sz w:val="16"/>
      </w:rPr>
      <w:t>5</w:t>
    </w:r>
    <w:r w:rsidR="00DB2A62">
      <w:rPr>
        <w:sz w:val="16"/>
      </w:rPr>
      <w:fldChar w:fldCharType="end"/>
    </w:r>
  </w:p>
  <w:p w14:paraId="4C4CC208" w14:textId="77777777" w:rsidR="00F34020" w:rsidRPr="001F08C6" w:rsidRDefault="00F34020" w:rsidP="00D2027A">
    <w:pPr>
      <w:pBdr>
        <w:bottom w:val="single" w:sz="4" w:space="1" w:color="000000"/>
      </w:pBdr>
      <w:tabs>
        <w:tab w:val="right" w:pos="8844"/>
      </w:tabs>
      <w:adjustRightInd w:val="0"/>
      <w:snapToGrid w:val="0"/>
      <w:spacing w:after="480" w:line="100" w:lineRule="exact"/>
      <w:jc w:val="left"/>
      <w:rPr>
        <w:sz w:val="16"/>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10487" w:type="dxa"/>
      <w:tblCellMar>
        <w:left w:w="0" w:type="dxa"/>
        <w:right w:w="0" w:type="dxa"/>
      </w:tblCellMar>
      <w:tblLook w:val="04A0" w:firstRow="1" w:lastRow="0" w:firstColumn="1" w:lastColumn="0" w:noHBand="0" w:noVBand="1"/>
    </w:tblPr>
    <w:tblGrid>
      <w:gridCol w:w="3679"/>
      <w:gridCol w:w="4535"/>
      <w:gridCol w:w="2273"/>
    </w:tblGrid>
    <w:tr w:rsidR="00AD214A" w:rsidRPr="00672DBB" w14:paraId="7936C3B2" w14:textId="77777777" w:rsidTr="00B46C44">
      <w:trPr>
        <w:trHeight w:val="686"/>
      </w:trPr>
      <w:tc>
        <w:tcPr>
          <w:tcW w:w="3679" w:type="dxa"/>
          <w:shd w:val="clear" w:color="auto" w:fill="auto"/>
          <w:vAlign w:val="center"/>
        </w:tcPr>
        <w:p w14:paraId="59D8A8EF" w14:textId="77777777" w:rsidR="00AD214A" w:rsidRPr="009B70F5" w:rsidRDefault="00612D89" w:rsidP="00672DBB">
          <w:pPr>
            <w:pStyle w:val="Kopfzeile"/>
            <w:pBdr>
              <w:bottom w:val="none" w:sz="0" w:space="0" w:color="auto"/>
            </w:pBdr>
            <w:jc w:val="left"/>
            <w:rPr>
              <w:rFonts w:eastAsia="DengXian"/>
              <w:b/>
              <w:bCs/>
            </w:rPr>
          </w:pPr>
          <w:r w:rsidRPr="009B70F5">
            <w:rPr>
              <w:rFonts w:eastAsia="DengXian"/>
              <w:b/>
              <w:bCs/>
            </w:rPr>
            <w:drawing>
              <wp:inline distT="0" distB="0" distL="0" distR="0" wp14:anchorId="15121980" wp14:editId="726906A2">
                <wp:extent cx="1648460" cy="429260"/>
                <wp:effectExtent l="0" t="0" r="0" b="0"/>
                <wp:docPr id="13" name="Picture 5" descr="C:\Users\home\Desktop\logos\带白边的logo\Biology-Data\Biosensors\Biosensors-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home\Desktop\logos\带白边的logo\Biology-Data\Biosensors\Biosensors-01.png"/>
                        <pic:cNvPicPr>
                          <a:picLocks noChangeAspect="1" noChangeArrowheads="1"/>
                        </pic:cNvPicPr>
                      </pic:nvPicPr>
                      <pic:blipFill>
                        <a:blip r:embed="rId1">
                          <a:extLst>
                            <a:ext uri="{28A0092B-C50C-407E-A947-70E740481C1C}">
                              <a14:useLocalDpi xmlns:a14="http://schemas.microsoft.com/office/drawing/2010/main" val="0"/>
                            </a:ext>
                          </a:extLst>
                        </a:blip>
                        <a:srcRect l="3404" t="10658" b="9895"/>
                        <a:stretch>
                          <a:fillRect/>
                        </a:stretch>
                      </pic:blipFill>
                      <pic:spPr bwMode="auto">
                        <a:xfrm>
                          <a:off x="0" y="0"/>
                          <a:ext cx="1648460" cy="429260"/>
                        </a:xfrm>
                        <a:prstGeom prst="rect">
                          <a:avLst/>
                        </a:prstGeom>
                        <a:noFill/>
                        <a:ln>
                          <a:noFill/>
                        </a:ln>
                      </pic:spPr>
                    </pic:pic>
                  </a:graphicData>
                </a:graphic>
              </wp:inline>
            </w:drawing>
          </w:r>
        </w:p>
      </w:tc>
      <w:tc>
        <w:tcPr>
          <w:tcW w:w="4535" w:type="dxa"/>
          <w:shd w:val="clear" w:color="auto" w:fill="auto"/>
          <w:vAlign w:val="center"/>
        </w:tcPr>
        <w:p w14:paraId="67D5BCB4" w14:textId="77777777" w:rsidR="00AD214A" w:rsidRPr="009B70F5" w:rsidRDefault="00AD214A" w:rsidP="00672DBB">
          <w:pPr>
            <w:pStyle w:val="Kopfzeile"/>
            <w:pBdr>
              <w:bottom w:val="none" w:sz="0" w:space="0" w:color="auto"/>
            </w:pBdr>
            <w:rPr>
              <w:rFonts w:eastAsia="DengXian"/>
              <w:b/>
              <w:bCs/>
            </w:rPr>
          </w:pPr>
        </w:p>
      </w:tc>
      <w:tc>
        <w:tcPr>
          <w:tcW w:w="2273" w:type="dxa"/>
          <w:shd w:val="clear" w:color="auto" w:fill="auto"/>
          <w:vAlign w:val="center"/>
        </w:tcPr>
        <w:p w14:paraId="0DB5241A" w14:textId="77777777" w:rsidR="00AD214A" w:rsidRPr="009B70F5" w:rsidRDefault="00B46C44" w:rsidP="00B46C44">
          <w:pPr>
            <w:pStyle w:val="Kopfzeile"/>
            <w:pBdr>
              <w:bottom w:val="none" w:sz="0" w:space="0" w:color="auto"/>
            </w:pBdr>
            <w:jc w:val="right"/>
            <w:rPr>
              <w:rFonts w:eastAsia="DengXian"/>
              <w:b/>
              <w:bCs/>
            </w:rPr>
          </w:pPr>
          <w:r>
            <w:rPr>
              <w:rFonts w:eastAsia="DengXian"/>
              <w:b/>
              <w:bCs/>
            </w:rPr>
            <w:drawing>
              <wp:inline distT="0" distB="0" distL="0" distR="0" wp14:anchorId="42306B77" wp14:editId="56977C63">
                <wp:extent cx="540000" cy="360000"/>
                <wp:effectExtent l="0" t="0" r="0" b="2540"/>
                <wp:docPr id="14" name="Picture 7"/>
                <wp:cNvGraphicFramePr/>
                <a:graphic xmlns:a="http://schemas.openxmlformats.org/drawingml/2006/main">
                  <a:graphicData uri="http://schemas.openxmlformats.org/drawingml/2006/picture">
                    <pic:pic xmlns:pic="http://schemas.openxmlformats.org/drawingml/2006/picture">
                      <pic:nvPicPr>
                        <pic:cNvPr id="7" name=""/>
                        <pic:cNvPicPr/>
                      </pic:nvPicPr>
                      <pic:blipFill>
                        <a:blip r:embed="rId2">
                          <a:extLst>
                            <a:ext uri="{28A0092B-C50C-407E-A947-70E740481C1C}">
                              <a14:useLocalDpi xmlns:a14="http://schemas.microsoft.com/office/drawing/2010/main" val="0"/>
                            </a:ext>
                          </a:extLst>
                        </a:blip>
                        <a:stretch>
                          <a:fillRect/>
                        </a:stretch>
                      </pic:blipFill>
                      <pic:spPr>
                        <a:xfrm>
                          <a:off x="0" y="0"/>
                          <a:ext cx="540000" cy="360000"/>
                        </a:xfrm>
                        <a:prstGeom prst="rect">
                          <a:avLst/>
                        </a:prstGeom>
                      </pic:spPr>
                    </pic:pic>
                  </a:graphicData>
                </a:graphic>
              </wp:inline>
            </w:drawing>
          </w:r>
        </w:p>
      </w:tc>
    </w:tr>
  </w:tbl>
  <w:p w14:paraId="44FE8417" w14:textId="77777777" w:rsidR="00F34020" w:rsidRPr="00AD214A" w:rsidRDefault="00F34020" w:rsidP="00D2027A">
    <w:pPr>
      <w:pBdr>
        <w:bottom w:val="single" w:sz="4" w:space="1" w:color="000000"/>
      </w:pBdr>
      <w:adjustRightInd w:val="0"/>
      <w:snapToGrid w:val="0"/>
      <w:spacing w:line="100" w:lineRule="exact"/>
      <w:jc w:val="left"/>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7AA0F88"/>
    <w:multiLevelType w:val="hybridMultilevel"/>
    <w:tmpl w:val="7E201858"/>
    <w:lvl w:ilvl="0" w:tplc="7736F520">
      <w:start w:val="1"/>
      <w:numFmt w:val="decimal"/>
      <w:lvlRestart w:val="0"/>
      <w:lvlText w:val="%1."/>
      <w:lvlJc w:val="left"/>
      <w:pPr>
        <w:ind w:left="425" w:hanging="425"/>
      </w:pPr>
      <w:rPr>
        <w:rFonts w:hint="default"/>
        <w:vertAlign w:val="superscrip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18B468F5"/>
    <w:multiLevelType w:val="hybridMultilevel"/>
    <w:tmpl w:val="0EE26A16"/>
    <w:lvl w:ilvl="0" w:tplc="037E358E">
      <w:start w:val="1"/>
      <w:numFmt w:val="decimal"/>
      <w:lvlRestart w:val="0"/>
      <w:pStyle w:val="MDPI37itemize"/>
      <w:lvlText w:val="%1."/>
      <w:lvlJc w:val="left"/>
      <w:pPr>
        <w:ind w:left="3033" w:hanging="425"/>
      </w:pPr>
      <w:rPr>
        <w:b w:val="0"/>
        <w:i w:val="0"/>
        <w:sz w:val="20"/>
        <w:vertAlign w:val="baseli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1E0C6F5D"/>
    <w:multiLevelType w:val="hybridMultilevel"/>
    <w:tmpl w:val="EF38DE88"/>
    <w:lvl w:ilvl="0" w:tplc="1298CAEA">
      <w:start w:val="1"/>
      <w:numFmt w:val="decimal"/>
      <w:lvlRestart w:val="0"/>
      <w:pStyle w:val="MDPI71FootNotes"/>
      <w:lvlText w:val="%1."/>
      <w:lvlJc w:val="left"/>
      <w:pPr>
        <w:ind w:left="425" w:hanging="425"/>
      </w:pPr>
      <w:rPr>
        <w:rFonts w:hint="default"/>
        <w:vertAlign w:val="superscript"/>
      </w:rPr>
    </w:lvl>
    <w:lvl w:ilvl="1" w:tplc="04090003" w:tentative="1">
      <w:start w:val="1"/>
      <w:numFmt w:val="bullet"/>
      <w:lvlText w:val="o"/>
      <w:lvlJc w:val="left"/>
      <w:pPr>
        <w:ind w:left="4048" w:hanging="360"/>
      </w:pPr>
      <w:rPr>
        <w:rFonts w:ascii="Courier New" w:hAnsi="Courier New" w:cs="Courier New" w:hint="default"/>
      </w:rPr>
    </w:lvl>
    <w:lvl w:ilvl="2" w:tplc="04090005" w:tentative="1">
      <w:start w:val="1"/>
      <w:numFmt w:val="bullet"/>
      <w:lvlText w:val=""/>
      <w:lvlJc w:val="left"/>
      <w:pPr>
        <w:ind w:left="4768" w:hanging="360"/>
      </w:pPr>
      <w:rPr>
        <w:rFonts w:ascii="Wingdings" w:hAnsi="Wingdings" w:hint="default"/>
      </w:rPr>
    </w:lvl>
    <w:lvl w:ilvl="3" w:tplc="04090001" w:tentative="1">
      <w:start w:val="1"/>
      <w:numFmt w:val="bullet"/>
      <w:lvlText w:val=""/>
      <w:lvlJc w:val="left"/>
      <w:pPr>
        <w:ind w:left="5488" w:hanging="360"/>
      </w:pPr>
      <w:rPr>
        <w:rFonts w:ascii="Symbol" w:hAnsi="Symbol" w:hint="default"/>
      </w:rPr>
    </w:lvl>
    <w:lvl w:ilvl="4" w:tplc="04090003" w:tentative="1">
      <w:start w:val="1"/>
      <w:numFmt w:val="bullet"/>
      <w:lvlText w:val="o"/>
      <w:lvlJc w:val="left"/>
      <w:pPr>
        <w:ind w:left="6208" w:hanging="360"/>
      </w:pPr>
      <w:rPr>
        <w:rFonts w:ascii="Courier New" w:hAnsi="Courier New" w:cs="Courier New" w:hint="default"/>
      </w:rPr>
    </w:lvl>
    <w:lvl w:ilvl="5" w:tplc="04090005" w:tentative="1">
      <w:start w:val="1"/>
      <w:numFmt w:val="bullet"/>
      <w:lvlText w:val=""/>
      <w:lvlJc w:val="left"/>
      <w:pPr>
        <w:ind w:left="6928" w:hanging="360"/>
      </w:pPr>
      <w:rPr>
        <w:rFonts w:ascii="Wingdings" w:hAnsi="Wingdings" w:hint="default"/>
      </w:rPr>
    </w:lvl>
    <w:lvl w:ilvl="6" w:tplc="04090001" w:tentative="1">
      <w:start w:val="1"/>
      <w:numFmt w:val="bullet"/>
      <w:lvlText w:val=""/>
      <w:lvlJc w:val="left"/>
      <w:pPr>
        <w:ind w:left="7648" w:hanging="360"/>
      </w:pPr>
      <w:rPr>
        <w:rFonts w:ascii="Symbol" w:hAnsi="Symbol" w:hint="default"/>
      </w:rPr>
    </w:lvl>
    <w:lvl w:ilvl="7" w:tplc="04090003" w:tentative="1">
      <w:start w:val="1"/>
      <w:numFmt w:val="bullet"/>
      <w:lvlText w:val="o"/>
      <w:lvlJc w:val="left"/>
      <w:pPr>
        <w:ind w:left="8368" w:hanging="360"/>
      </w:pPr>
      <w:rPr>
        <w:rFonts w:ascii="Courier New" w:hAnsi="Courier New" w:cs="Courier New" w:hint="default"/>
      </w:rPr>
    </w:lvl>
    <w:lvl w:ilvl="8" w:tplc="04090005" w:tentative="1">
      <w:start w:val="1"/>
      <w:numFmt w:val="bullet"/>
      <w:lvlText w:val=""/>
      <w:lvlJc w:val="left"/>
      <w:pPr>
        <w:ind w:left="9088" w:hanging="360"/>
      </w:pPr>
      <w:rPr>
        <w:rFonts w:ascii="Wingdings" w:hAnsi="Wingdings" w:hint="default"/>
      </w:rPr>
    </w:lvl>
  </w:abstractNum>
  <w:abstractNum w:abstractNumId="3" w15:restartNumberingAfterBreak="0">
    <w:nsid w:val="250A245F"/>
    <w:multiLevelType w:val="hybridMultilevel"/>
    <w:tmpl w:val="29E20A30"/>
    <w:lvl w:ilvl="0" w:tplc="1AF444CE">
      <w:start w:val="1"/>
      <w:numFmt w:val="decimal"/>
      <w:lvlText w:val="%1."/>
      <w:lvlJc w:val="left"/>
      <w:pPr>
        <w:ind w:left="780" w:hanging="42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 w15:restartNumberingAfterBreak="0">
    <w:nsid w:val="2805051C"/>
    <w:multiLevelType w:val="hybridMultilevel"/>
    <w:tmpl w:val="D6480D34"/>
    <w:lvl w:ilvl="0" w:tplc="CDCEE7DA">
      <w:start w:val="1"/>
      <w:numFmt w:val="decimal"/>
      <w:lvlText w:val="%1."/>
      <w:lvlJc w:val="left"/>
      <w:pPr>
        <w:ind w:left="1429" w:hanging="360"/>
      </w:pPr>
    </w:lvl>
    <w:lvl w:ilvl="1" w:tplc="08070019" w:tentative="1">
      <w:start w:val="1"/>
      <w:numFmt w:val="lowerLetter"/>
      <w:lvlText w:val="%2."/>
      <w:lvlJc w:val="left"/>
      <w:pPr>
        <w:ind w:left="2149" w:hanging="360"/>
      </w:pPr>
    </w:lvl>
    <w:lvl w:ilvl="2" w:tplc="0807001B" w:tentative="1">
      <w:start w:val="1"/>
      <w:numFmt w:val="lowerRoman"/>
      <w:lvlText w:val="%3."/>
      <w:lvlJc w:val="right"/>
      <w:pPr>
        <w:ind w:left="2869" w:hanging="180"/>
      </w:pPr>
    </w:lvl>
    <w:lvl w:ilvl="3" w:tplc="0807000F" w:tentative="1">
      <w:start w:val="1"/>
      <w:numFmt w:val="decimal"/>
      <w:lvlText w:val="%4."/>
      <w:lvlJc w:val="left"/>
      <w:pPr>
        <w:ind w:left="3589" w:hanging="360"/>
      </w:pPr>
    </w:lvl>
    <w:lvl w:ilvl="4" w:tplc="08070019" w:tentative="1">
      <w:start w:val="1"/>
      <w:numFmt w:val="lowerLetter"/>
      <w:lvlText w:val="%5."/>
      <w:lvlJc w:val="left"/>
      <w:pPr>
        <w:ind w:left="4309" w:hanging="360"/>
      </w:pPr>
    </w:lvl>
    <w:lvl w:ilvl="5" w:tplc="0807001B" w:tentative="1">
      <w:start w:val="1"/>
      <w:numFmt w:val="lowerRoman"/>
      <w:lvlText w:val="%6."/>
      <w:lvlJc w:val="right"/>
      <w:pPr>
        <w:ind w:left="5029" w:hanging="180"/>
      </w:pPr>
    </w:lvl>
    <w:lvl w:ilvl="6" w:tplc="0807000F" w:tentative="1">
      <w:start w:val="1"/>
      <w:numFmt w:val="decimal"/>
      <w:lvlText w:val="%7."/>
      <w:lvlJc w:val="left"/>
      <w:pPr>
        <w:ind w:left="5749" w:hanging="360"/>
      </w:pPr>
    </w:lvl>
    <w:lvl w:ilvl="7" w:tplc="08070019" w:tentative="1">
      <w:start w:val="1"/>
      <w:numFmt w:val="lowerLetter"/>
      <w:lvlText w:val="%8."/>
      <w:lvlJc w:val="left"/>
      <w:pPr>
        <w:ind w:left="6469" w:hanging="360"/>
      </w:pPr>
    </w:lvl>
    <w:lvl w:ilvl="8" w:tplc="0807001B" w:tentative="1">
      <w:start w:val="1"/>
      <w:numFmt w:val="lowerRoman"/>
      <w:lvlText w:val="%9."/>
      <w:lvlJc w:val="right"/>
      <w:pPr>
        <w:ind w:left="7189" w:hanging="180"/>
      </w:pPr>
    </w:lvl>
  </w:abstractNum>
  <w:abstractNum w:abstractNumId="5" w15:restartNumberingAfterBreak="0">
    <w:nsid w:val="282E1BA0"/>
    <w:multiLevelType w:val="hybridMultilevel"/>
    <w:tmpl w:val="EF3C6AC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29C46FFB"/>
    <w:multiLevelType w:val="hybridMultilevel"/>
    <w:tmpl w:val="B7408D84"/>
    <w:lvl w:ilvl="0" w:tplc="724C6D04">
      <w:start w:val="1"/>
      <w:numFmt w:val="decimal"/>
      <w:lvlRestart w:val="0"/>
      <w:pStyle w:val="MDPI71References"/>
      <w:lvlText w:val="%1."/>
      <w:lvlJc w:val="left"/>
      <w:pPr>
        <w:ind w:left="425" w:hanging="425"/>
      </w:pPr>
      <w:rPr>
        <w:b w:val="0"/>
        <w:i w:val="0"/>
        <w:sz w:val="20"/>
        <w:vertAlign w:val="baseli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369A6535"/>
    <w:multiLevelType w:val="hybridMultilevel"/>
    <w:tmpl w:val="3CB68362"/>
    <w:lvl w:ilvl="0" w:tplc="B2367048">
      <w:start w:val="1"/>
      <w:numFmt w:val="bullet"/>
      <w:lvlText w:val=""/>
      <w:lvlJc w:val="left"/>
      <w:pPr>
        <w:ind w:left="1429" w:hanging="360"/>
      </w:pPr>
      <w:rPr>
        <w:rFonts w:ascii="Symbol" w:hAnsi="Symbol" w:hint="default"/>
      </w:rPr>
    </w:lvl>
    <w:lvl w:ilvl="1" w:tplc="08070003" w:tentative="1">
      <w:start w:val="1"/>
      <w:numFmt w:val="bullet"/>
      <w:lvlText w:val="o"/>
      <w:lvlJc w:val="left"/>
      <w:pPr>
        <w:ind w:left="2149" w:hanging="360"/>
      </w:pPr>
      <w:rPr>
        <w:rFonts w:ascii="Courier New" w:hAnsi="Courier New" w:cs="Courier New" w:hint="default"/>
      </w:rPr>
    </w:lvl>
    <w:lvl w:ilvl="2" w:tplc="08070005" w:tentative="1">
      <w:start w:val="1"/>
      <w:numFmt w:val="bullet"/>
      <w:lvlText w:val=""/>
      <w:lvlJc w:val="left"/>
      <w:pPr>
        <w:ind w:left="2869" w:hanging="360"/>
      </w:pPr>
      <w:rPr>
        <w:rFonts w:ascii="Wingdings" w:hAnsi="Wingdings" w:hint="default"/>
      </w:rPr>
    </w:lvl>
    <w:lvl w:ilvl="3" w:tplc="08070001" w:tentative="1">
      <w:start w:val="1"/>
      <w:numFmt w:val="bullet"/>
      <w:lvlText w:val=""/>
      <w:lvlJc w:val="left"/>
      <w:pPr>
        <w:ind w:left="3589" w:hanging="360"/>
      </w:pPr>
      <w:rPr>
        <w:rFonts w:ascii="Symbol" w:hAnsi="Symbol" w:hint="default"/>
      </w:rPr>
    </w:lvl>
    <w:lvl w:ilvl="4" w:tplc="08070003" w:tentative="1">
      <w:start w:val="1"/>
      <w:numFmt w:val="bullet"/>
      <w:lvlText w:val="o"/>
      <w:lvlJc w:val="left"/>
      <w:pPr>
        <w:ind w:left="4309" w:hanging="360"/>
      </w:pPr>
      <w:rPr>
        <w:rFonts w:ascii="Courier New" w:hAnsi="Courier New" w:cs="Courier New" w:hint="default"/>
      </w:rPr>
    </w:lvl>
    <w:lvl w:ilvl="5" w:tplc="08070005" w:tentative="1">
      <w:start w:val="1"/>
      <w:numFmt w:val="bullet"/>
      <w:lvlText w:val=""/>
      <w:lvlJc w:val="left"/>
      <w:pPr>
        <w:ind w:left="5029" w:hanging="360"/>
      </w:pPr>
      <w:rPr>
        <w:rFonts w:ascii="Wingdings" w:hAnsi="Wingdings" w:hint="default"/>
      </w:rPr>
    </w:lvl>
    <w:lvl w:ilvl="6" w:tplc="08070001" w:tentative="1">
      <w:start w:val="1"/>
      <w:numFmt w:val="bullet"/>
      <w:lvlText w:val=""/>
      <w:lvlJc w:val="left"/>
      <w:pPr>
        <w:ind w:left="5749" w:hanging="360"/>
      </w:pPr>
      <w:rPr>
        <w:rFonts w:ascii="Symbol" w:hAnsi="Symbol" w:hint="default"/>
      </w:rPr>
    </w:lvl>
    <w:lvl w:ilvl="7" w:tplc="08070003" w:tentative="1">
      <w:start w:val="1"/>
      <w:numFmt w:val="bullet"/>
      <w:lvlText w:val="o"/>
      <w:lvlJc w:val="left"/>
      <w:pPr>
        <w:ind w:left="6469" w:hanging="360"/>
      </w:pPr>
      <w:rPr>
        <w:rFonts w:ascii="Courier New" w:hAnsi="Courier New" w:cs="Courier New" w:hint="default"/>
      </w:rPr>
    </w:lvl>
    <w:lvl w:ilvl="8" w:tplc="08070005" w:tentative="1">
      <w:start w:val="1"/>
      <w:numFmt w:val="bullet"/>
      <w:lvlText w:val=""/>
      <w:lvlJc w:val="left"/>
      <w:pPr>
        <w:ind w:left="7189" w:hanging="360"/>
      </w:pPr>
      <w:rPr>
        <w:rFonts w:ascii="Wingdings" w:hAnsi="Wingdings" w:hint="default"/>
      </w:rPr>
    </w:lvl>
  </w:abstractNum>
  <w:abstractNum w:abstractNumId="8" w15:restartNumberingAfterBreak="0">
    <w:nsid w:val="52E2771B"/>
    <w:multiLevelType w:val="hybridMultilevel"/>
    <w:tmpl w:val="A2A06AAC"/>
    <w:lvl w:ilvl="0" w:tplc="C788203A">
      <w:start w:val="1"/>
      <w:numFmt w:val="decimal"/>
      <w:lvlRestart w:val="0"/>
      <w:lvlText w:val="%1"/>
      <w:lvlJc w:val="left"/>
      <w:pPr>
        <w:ind w:left="425" w:hanging="425"/>
      </w:pPr>
      <w:rPr>
        <w:rFonts w:hint="eastAsia"/>
        <w:caps w:val="0"/>
        <w:strike w:val="0"/>
        <w:dstrike w:val="0"/>
        <w:vanish w:val="0"/>
        <w:sz w:val="18"/>
        <w:vertAlign w:val="superscrip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54075B53"/>
    <w:multiLevelType w:val="hybridMultilevel"/>
    <w:tmpl w:val="A0DCA02E"/>
    <w:lvl w:ilvl="0" w:tplc="5CB0595C">
      <w:start w:val="1"/>
      <w:numFmt w:val="decimal"/>
      <w:lvlRestart w:val="0"/>
      <w:lvlText w:val="%1."/>
      <w:lvlJc w:val="left"/>
      <w:pPr>
        <w:ind w:left="3033" w:hanging="425"/>
      </w:pPr>
    </w:lvl>
    <w:lvl w:ilvl="1" w:tplc="04090019" w:tentative="1">
      <w:start w:val="1"/>
      <w:numFmt w:val="lowerLetter"/>
      <w:lvlText w:val="%2."/>
      <w:lvlJc w:val="left"/>
      <w:pPr>
        <w:ind w:left="3691" w:hanging="360"/>
      </w:pPr>
    </w:lvl>
    <w:lvl w:ilvl="2" w:tplc="0409001B" w:tentative="1">
      <w:start w:val="1"/>
      <w:numFmt w:val="lowerRoman"/>
      <w:lvlText w:val="%3."/>
      <w:lvlJc w:val="right"/>
      <w:pPr>
        <w:ind w:left="4411" w:hanging="180"/>
      </w:pPr>
    </w:lvl>
    <w:lvl w:ilvl="3" w:tplc="0409000F" w:tentative="1">
      <w:start w:val="1"/>
      <w:numFmt w:val="decimal"/>
      <w:lvlText w:val="%4."/>
      <w:lvlJc w:val="left"/>
      <w:pPr>
        <w:ind w:left="5131" w:hanging="360"/>
      </w:pPr>
    </w:lvl>
    <w:lvl w:ilvl="4" w:tplc="04090019" w:tentative="1">
      <w:start w:val="1"/>
      <w:numFmt w:val="lowerLetter"/>
      <w:lvlText w:val="%5."/>
      <w:lvlJc w:val="left"/>
      <w:pPr>
        <w:ind w:left="5851" w:hanging="360"/>
      </w:pPr>
    </w:lvl>
    <w:lvl w:ilvl="5" w:tplc="0409001B" w:tentative="1">
      <w:start w:val="1"/>
      <w:numFmt w:val="lowerRoman"/>
      <w:lvlText w:val="%6."/>
      <w:lvlJc w:val="right"/>
      <w:pPr>
        <w:ind w:left="6571" w:hanging="180"/>
      </w:pPr>
    </w:lvl>
    <w:lvl w:ilvl="6" w:tplc="0409000F" w:tentative="1">
      <w:start w:val="1"/>
      <w:numFmt w:val="decimal"/>
      <w:lvlText w:val="%7."/>
      <w:lvlJc w:val="left"/>
      <w:pPr>
        <w:ind w:left="7291" w:hanging="360"/>
      </w:pPr>
    </w:lvl>
    <w:lvl w:ilvl="7" w:tplc="04090019" w:tentative="1">
      <w:start w:val="1"/>
      <w:numFmt w:val="lowerLetter"/>
      <w:lvlText w:val="%8."/>
      <w:lvlJc w:val="left"/>
      <w:pPr>
        <w:ind w:left="8011" w:hanging="360"/>
      </w:pPr>
    </w:lvl>
    <w:lvl w:ilvl="8" w:tplc="0409001B" w:tentative="1">
      <w:start w:val="1"/>
      <w:numFmt w:val="lowerRoman"/>
      <w:lvlText w:val="%9."/>
      <w:lvlJc w:val="right"/>
      <w:pPr>
        <w:ind w:left="8731" w:hanging="180"/>
      </w:pPr>
    </w:lvl>
  </w:abstractNum>
  <w:abstractNum w:abstractNumId="10" w15:restartNumberingAfterBreak="0">
    <w:nsid w:val="706D5736"/>
    <w:multiLevelType w:val="hybridMultilevel"/>
    <w:tmpl w:val="7E201858"/>
    <w:lvl w:ilvl="0" w:tplc="7736F520">
      <w:start w:val="1"/>
      <w:numFmt w:val="decimal"/>
      <w:lvlRestart w:val="0"/>
      <w:lvlText w:val="%1."/>
      <w:lvlJc w:val="left"/>
      <w:pPr>
        <w:ind w:left="425" w:hanging="425"/>
      </w:pPr>
      <w:rPr>
        <w:rFonts w:hint="default"/>
        <w:vertAlign w:val="superscrip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7B0A0816"/>
    <w:multiLevelType w:val="hybridMultilevel"/>
    <w:tmpl w:val="9C2A8D2A"/>
    <w:lvl w:ilvl="0" w:tplc="EC60E068">
      <w:start w:val="1"/>
      <w:numFmt w:val="bullet"/>
      <w:lvlRestart w:val="0"/>
      <w:pStyle w:val="MDPI38bullet"/>
      <w:lvlText w:val=""/>
      <w:lvlJc w:val="left"/>
      <w:pPr>
        <w:ind w:left="3033" w:hanging="425"/>
      </w:pPr>
      <w:rPr>
        <w:rFonts w:ascii="Symbol" w:hAnsi="Symbol" w:hint="default"/>
        <w:b w:val="0"/>
        <w:i w:val="0"/>
        <w:sz w:val="20"/>
        <w:vertAlign w:val="baseline"/>
      </w:rPr>
    </w:lvl>
    <w:lvl w:ilvl="1" w:tplc="04090003" w:tentative="1">
      <w:start w:val="1"/>
      <w:numFmt w:val="bullet"/>
      <w:lvlText w:val="o"/>
      <w:lvlJc w:val="left"/>
      <w:pPr>
        <w:ind w:left="4048" w:hanging="360"/>
      </w:pPr>
      <w:rPr>
        <w:rFonts w:ascii="Courier New" w:hAnsi="Courier New" w:cs="Courier New" w:hint="default"/>
      </w:rPr>
    </w:lvl>
    <w:lvl w:ilvl="2" w:tplc="04090005" w:tentative="1">
      <w:start w:val="1"/>
      <w:numFmt w:val="bullet"/>
      <w:lvlText w:val=""/>
      <w:lvlJc w:val="left"/>
      <w:pPr>
        <w:ind w:left="4768" w:hanging="360"/>
      </w:pPr>
      <w:rPr>
        <w:rFonts w:ascii="Wingdings" w:hAnsi="Wingdings" w:hint="default"/>
      </w:rPr>
    </w:lvl>
    <w:lvl w:ilvl="3" w:tplc="04090001" w:tentative="1">
      <w:start w:val="1"/>
      <w:numFmt w:val="bullet"/>
      <w:lvlText w:val=""/>
      <w:lvlJc w:val="left"/>
      <w:pPr>
        <w:ind w:left="5488" w:hanging="360"/>
      </w:pPr>
      <w:rPr>
        <w:rFonts w:ascii="Symbol" w:hAnsi="Symbol" w:hint="default"/>
      </w:rPr>
    </w:lvl>
    <w:lvl w:ilvl="4" w:tplc="04090003" w:tentative="1">
      <w:start w:val="1"/>
      <w:numFmt w:val="bullet"/>
      <w:lvlText w:val="o"/>
      <w:lvlJc w:val="left"/>
      <w:pPr>
        <w:ind w:left="6208" w:hanging="360"/>
      </w:pPr>
      <w:rPr>
        <w:rFonts w:ascii="Courier New" w:hAnsi="Courier New" w:cs="Courier New" w:hint="default"/>
      </w:rPr>
    </w:lvl>
    <w:lvl w:ilvl="5" w:tplc="04090005" w:tentative="1">
      <w:start w:val="1"/>
      <w:numFmt w:val="bullet"/>
      <w:lvlText w:val=""/>
      <w:lvlJc w:val="left"/>
      <w:pPr>
        <w:ind w:left="6928" w:hanging="360"/>
      </w:pPr>
      <w:rPr>
        <w:rFonts w:ascii="Wingdings" w:hAnsi="Wingdings" w:hint="default"/>
      </w:rPr>
    </w:lvl>
    <w:lvl w:ilvl="6" w:tplc="04090001" w:tentative="1">
      <w:start w:val="1"/>
      <w:numFmt w:val="bullet"/>
      <w:lvlText w:val=""/>
      <w:lvlJc w:val="left"/>
      <w:pPr>
        <w:ind w:left="7648" w:hanging="360"/>
      </w:pPr>
      <w:rPr>
        <w:rFonts w:ascii="Symbol" w:hAnsi="Symbol" w:hint="default"/>
      </w:rPr>
    </w:lvl>
    <w:lvl w:ilvl="7" w:tplc="04090003" w:tentative="1">
      <w:start w:val="1"/>
      <w:numFmt w:val="bullet"/>
      <w:lvlText w:val="o"/>
      <w:lvlJc w:val="left"/>
      <w:pPr>
        <w:ind w:left="8368" w:hanging="360"/>
      </w:pPr>
      <w:rPr>
        <w:rFonts w:ascii="Courier New" w:hAnsi="Courier New" w:cs="Courier New" w:hint="default"/>
      </w:rPr>
    </w:lvl>
    <w:lvl w:ilvl="8" w:tplc="04090005" w:tentative="1">
      <w:start w:val="1"/>
      <w:numFmt w:val="bullet"/>
      <w:lvlText w:val=""/>
      <w:lvlJc w:val="left"/>
      <w:pPr>
        <w:ind w:left="9088" w:hanging="360"/>
      </w:pPr>
      <w:rPr>
        <w:rFonts w:ascii="Wingdings" w:hAnsi="Wingdings" w:hint="default"/>
      </w:rPr>
    </w:lvl>
  </w:abstractNum>
  <w:num w:numId="1" w16cid:durableId="53702519">
    <w:abstractNumId w:val="4"/>
  </w:num>
  <w:num w:numId="2" w16cid:durableId="1559896614">
    <w:abstractNumId w:val="7"/>
  </w:num>
  <w:num w:numId="3" w16cid:durableId="500506429">
    <w:abstractNumId w:val="3"/>
  </w:num>
  <w:num w:numId="4" w16cid:durableId="440875347">
    <w:abstractNumId w:val="5"/>
  </w:num>
  <w:num w:numId="5" w16cid:durableId="1903443030">
    <w:abstractNumId w:val="9"/>
  </w:num>
  <w:num w:numId="6" w16cid:durableId="1965692716">
    <w:abstractNumId w:val="2"/>
  </w:num>
  <w:num w:numId="7" w16cid:durableId="168494720">
    <w:abstractNumId w:val="9"/>
  </w:num>
  <w:num w:numId="8" w16cid:durableId="1364553172">
    <w:abstractNumId w:val="2"/>
  </w:num>
  <w:num w:numId="9" w16cid:durableId="2075808603">
    <w:abstractNumId w:val="9"/>
  </w:num>
  <w:num w:numId="10" w16cid:durableId="1703626941">
    <w:abstractNumId w:val="2"/>
  </w:num>
  <w:num w:numId="11" w16cid:durableId="1779131908">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985013608">
    <w:abstractNumId w:val="0"/>
  </w:num>
  <w:num w:numId="13" w16cid:durableId="77484927">
    <w:abstractNumId w:val="10"/>
  </w:num>
  <w:num w:numId="14" w16cid:durableId="1749888467">
    <w:abstractNumId w:val="9"/>
  </w:num>
  <w:num w:numId="15" w16cid:durableId="1563784699">
    <w:abstractNumId w:val="2"/>
  </w:num>
  <w:num w:numId="16" w16cid:durableId="13774344">
    <w:abstractNumId w:val="1"/>
  </w:num>
  <w:num w:numId="17" w16cid:durableId="1311715080">
    <w:abstractNumId w:val="8"/>
  </w:num>
  <w:num w:numId="18" w16cid:durableId="1806584043">
    <w:abstractNumId w:val="0"/>
  </w:num>
  <w:num w:numId="19" w16cid:durableId="1721048772">
    <w:abstractNumId w:val="9"/>
  </w:num>
  <w:num w:numId="20" w16cid:durableId="1820611220">
    <w:abstractNumId w:val="2"/>
  </w:num>
  <w:num w:numId="21" w16cid:durableId="1156216321">
    <w:abstractNumId w:val="1"/>
  </w:num>
  <w:num w:numId="22" w16cid:durableId="1303777654">
    <w:abstractNumId w:val="11"/>
  </w:num>
  <w:num w:numId="23" w16cid:durableId="2111319064">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bordersDoNotSurroundHeader/>
  <w:bordersDoNotSurroundFooter/>
  <w:proofState w:spelling="clean" w:grammar="clean"/>
  <w:attachedTemplate r:id="rId1"/>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defaultTabStop w:val="510"/>
  <w:autoHyphenation/>
  <w:hyphenationZone w:val="425"/>
  <w:drawingGridHorizontalSpacing w:val="100"/>
  <w:drawingGridVerticalSpacing w:val="163"/>
  <w:displayHorizontalDrawingGridEvery w:val="0"/>
  <w:displayVerticalDrawingGridEvery w:val="2"/>
  <w:characterSpacingControl w:val="compressPunctuation"/>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2NDW1NDUyNjWyNDY0sTBU0lEKTi0uzszPAykwqQUACdfLXywAAAA="/>
  </w:docVars>
  <w:rsids>
    <w:rsidRoot w:val="00C95995"/>
    <w:rsid w:val="000011D4"/>
    <w:rsid w:val="00002C19"/>
    <w:rsid w:val="00006545"/>
    <w:rsid w:val="000107FF"/>
    <w:rsid w:val="00014381"/>
    <w:rsid w:val="0004261B"/>
    <w:rsid w:val="00052C4C"/>
    <w:rsid w:val="00064146"/>
    <w:rsid w:val="00065743"/>
    <w:rsid w:val="0007591D"/>
    <w:rsid w:val="0009289B"/>
    <w:rsid w:val="00095251"/>
    <w:rsid w:val="000A12AC"/>
    <w:rsid w:val="000A794F"/>
    <w:rsid w:val="000A7C60"/>
    <w:rsid w:val="000B2374"/>
    <w:rsid w:val="000B36CB"/>
    <w:rsid w:val="000B6A7E"/>
    <w:rsid w:val="000C0E7E"/>
    <w:rsid w:val="000C5B07"/>
    <w:rsid w:val="000E1CB9"/>
    <w:rsid w:val="000E374E"/>
    <w:rsid w:val="000F0813"/>
    <w:rsid w:val="00101EAD"/>
    <w:rsid w:val="0012102C"/>
    <w:rsid w:val="0012174F"/>
    <w:rsid w:val="00127917"/>
    <w:rsid w:val="00130C95"/>
    <w:rsid w:val="001516A8"/>
    <w:rsid w:val="001519BF"/>
    <w:rsid w:val="00152239"/>
    <w:rsid w:val="00164CB0"/>
    <w:rsid w:val="001703FE"/>
    <w:rsid w:val="00173F82"/>
    <w:rsid w:val="00175B5E"/>
    <w:rsid w:val="001770C2"/>
    <w:rsid w:val="001A1410"/>
    <w:rsid w:val="001B01EB"/>
    <w:rsid w:val="001B1945"/>
    <w:rsid w:val="001B4014"/>
    <w:rsid w:val="001B6220"/>
    <w:rsid w:val="001E0BF5"/>
    <w:rsid w:val="001E2AEB"/>
    <w:rsid w:val="001E3F84"/>
    <w:rsid w:val="001E4F06"/>
    <w:rsid w:val="001F4AC9"/>
    <w:rsid w:val="001F64FD"/>
    <w:rsid w:val="00202990"/>
    <w:rsid w:val="00202A68"/>
    <w:rsid w:val="00211A8C"/>
    <w:rsid w:val="00221C61"/>
    <w:rsid w:val="0022208D"/>
    <w:rsid w:val="00222F8C"/>
    <w:rsid w:val="00237773"/>
    <w:rsid w:val="00252293"/>
    <w:rsid w:val="00253ACF"/>
    <w:rsid w:val="00277DC9"/>
    <w:rsid w:val="00287C08"/>
    <w:rsid w:val="00295B44"/>
    <w:rsid w:val="0029783A"/>
    <w:rsid w:val="002A2DE3"/>
    <w:rsid w:val="002A3984"/>
    <w:rsid w:val="002B73F9"/>
    <w:rsid w:val="002C3C56"/>
    <w:rsid w:val="002C4759"/>
    <w:rsid w:val="002C4877"/>
    <w:rsid w:val="002C640F"/>
    <w:rsid w:val="002D7ED7"/>
    <w:rsid w:val="002E4DDA"/>
    <w:rsid w:val="002F6551"/>
    <w:rsid w:val="00305219"/>
    <w:rsid w:val="00306404"/>
    <w:rsid w:val="00311931"/>
    <w:rsid w:val="00312A51"/>
    <w:rsid w:val="00312EC9"/>
    <w:rsid w:val="003144B6"/>
    <w:rsid w:val="00326141"/>
    <w:rsid w:val="00327F4C"/>
    <w:rsid w:val="00356B1D"/>
    <w:rsid w:val="00360BEC"/>
    <w:rsid w:val="00361443"/>
    <w:rsid w:val="00363B29"/>
    <w:rsid w:val="00366281"/>
    <w:rsid w:val="0036679D"/>
    <w:rsid w:val="00372537"/>
    <w:rsid w:val="00393064"/>
    <w:rsid w:val="00394A5D"/>
    <w:rsid w:val="003A7297"/>
    <w:rsid w:val="003A7875"/>
    <w:rsid w:val="003A7C3E"/>
    <w:rsid w:val="003C10C3"/>
    <w:rsid w:val="003C6726"/>
    <w:rsid w:val="003E7D21"/>
    <w:rsid w:val="003F0AE2"/>
    <w:rsid w:val="003F2485"/>
    <w:rsid w:val="004017A0"/>
    <w:rsid w:val="00401D30"/>
    <w:rsid w:val="00410A93"/>
    <w:rsid w:val="00412EA7"/>
    <w:rsid w:val="00447C3D"/>
    <w:rsid w:val="00451BAD"/>
    <w:rsid w:val="00461089"/>
    <w:rsid w:val="00462696"/>
    <w:rsid w:val="00472837"/>
    <w:rsid w:val="00497F5F"/>
    <w:rsid w:val="004A04EA"/>
    <w:rsid w:val="004A0FF4"/>
    <w:rsid w:val="004B54F7"/>
    <w:rsid w:val="004B6348"/>
    <w:rsid w:val="004D4793"/>
    <w:rsid w:val="004E214F"/>
    <w:rsid w:val="004F691E"/>
    <w:rsid w:val="00501B23"/>
    <w:rsid w:val="00506326"/>
    <w:rsid w:val="005078FD"/>
    <w:rsid w:val="00513D61"/>
    <w:rsid w:val="00533125"/>
    <w:rsid w:val="00545CE8"/>
    <w:rsid w:val="005515C3"/>
    <w:rsid w:val="00571EE5"/>
    <w:rsid w:val="00573991"/>
    <w:rsid w:val="005876FE"/>
    <w:rsid w:val="005912A8"/>
    <w:rsid w:val="005A0DDF"/>
    <w:rsid w:val="005A7E05"/>
    <w:rsid w:val="005B2166"/>
    <w:rsid w:val="00612D89"/>
    <w:rsid w:val="00616B4A"/>
    <w:rsid w:val="00617E01"/>
    <w:rsid w:val="006245A0"/>
    <w:rsid w:val="00627001"/>
    <w:rsid w:val="00627153"/>
    <w:rsid w:val="0063736A"/>
    <w:rsid w:val="0063764D"/>
    <w:rsid w:val="006465D3"/>
    <w:rsid w:val="00655246"/>
    <w:rsid w:val="006567D5"/>
    <w:rsid w:val="006626B3"/>
    <w:rsid w:val="00672DBB"/>
    <w:rsid w:val="00680522"/>
    <w:rsid w:val="0068415C"/>
    <w:rsid w:val="00690721"/>
    <w:rsid w:val="00692393"/>
    <w:rsid w:val="006971CB"/>
    <w:rsid w:val="006B0363"/>
    <w:rsid w:val="006B37C9"/>
    <w:rsid w:val="006B62C7"/>
    <w:rsid w:val="006C2631"/>
    <w:rsid w:val="006C4EFE"/>
    <w:rsid w:val="006C5E0C"/>
    <w:rsid w:val="006C6A29"/>
    <w:rsid w:val="006F2639"/>
    <w:rsid w:val="006F5378"/>
    <w:rsid w:val="00702EDB"/>
    <w:rsid w:val="00703F56"/>
    <w:rsid w:val="007047AA"/>
    <w:rsid w:val="00705231"/>
    <w:rsid w:val="007200AE"/>
    <w:rsid w:val="0073063A"/>
    <w:rsid w:val="0073737F"/>
    <w:rsid w:val="00744686"/>
    <w:rsid w:val="00744EBE"/>
    <w:rsid w:val="00746492"/>
    <w:rsid w:val="00757523"/>
    <w:rsid w:val="0076042F"/>
    <w:rsid w:val="007652B2"/>
    <w:rsid w:val="00767047"/>
    <w:rsid w:val="00772C04"/>
    <w:rsid w:val="0077534B"/>
    <w:rsid w:val="00775A02"/>
    <w:rsid w:val="00782079"/>
    <w:rsid w:val="00790C7E"/>
    <w:rsid w:val="007959E3"/>
    <w:rsid w:val="007A0282"/>
    <w:rsid w:val="007A7FAD"/>
    <w:rsid w:val="007B683B"/>
    <w:rsid w:val="007C0291"/>
    <w:rsid w:val="007C3F8D"/>
    <w:rsid w:val="007C5281"/>
    <w:rsid w:val="007D013E"/>
    <w:rsid w:val="007D7699"/>
    <w:rsid w:val="007E0D74"/>
    <w:rsid w:val="007E2073"/>
    <w:rsid w:val="007F1204"/>
    <w:rsid w:val="007F4FF3"/>
    <w:rsid w:val="00803783"/>
    <w:rsid w:val="0080386F"/>
    <w:rsid w:val="00807C9D"/>
    <w:rsid w:val="0082388B"/>
    <w:rsid w:val="00833F66"/>
    <w:rsid w:val="0084338B"/>
    <w:rsid w:val="00856707"/>
    <w:rsid w:val="008571EC"/>
    <w:rsid w:val="00873D76"/>
    <w:rsid w:val="00874B2B"/>
    <w:rsid w:val="0089454C"/>
    <w:rsid w:val="008A2812"/>
    <w:rsid w:val="008B19F5"/>
    <w:rsid w:val="008B200D"/>
    <w:rsid w:val="008B5EF0"/>
    <w:rsid w:val="008C14A7"/>
    <w:rsid w:val="008C1C15"/>
    <w:rsid w:val="008C41E0"/>
    <w:rsid w:val="008C647A"/>
    <w:rsid w:val="008C7B27"/>
    <w:rsid w:val="008D2BAB"/>
    <w:rsid w:val="008D492B"/>
    <w:rsid w:val="008E3D86"/>
    <w:rsid w:val="008E6D06"/>
    <w:rsid w:val="008E704A"/>
    <w:rsid w:val="00912837"/>
    <w:rsid w:val="009243C4"/>
    <w:rsid w:val="00924D30"/>
    <w:rsid w:val="00926EE5"/>
    <w:rsid w:val="009351C6"/>
    <w:rsid w:val="00940DF2"/>
    <w:rsid w:val="009435A7"/>
    <w:rsid w:val="00943CA4"/>
    <w:rsid w:val="00946AEC"/>
    <w:rsid w:val="009504DE"/>
    <w:rsid w:val="00956226"/>
    <w:rsid w:val="00961819"/>
    <w:rsid w:val="009770B3"/>
    <w:rsid w:val="0099060A"/>
    <w:rsid w:val="009A74A7"/>
    <w:rsid w:val="009A774E"/>
    <w:rsid w:val="009B70F5"/>
    <w:rsid w:val="009B719D"/>
    <w:rsid w:val="009C3D71"/>
    <w:rsid w:val="009D05EA"/>
    <w:rsid w:val="009D31C3"/>
    <w:rsid w:val="009D59D0"/>
    <w:rsid w:val="009E0F52"/>
    <w:rsid w:val="009E38EC"/>
    <w:rsid w:val="009F05DF"/>
    <w:rsid w:val="009F4D4A"/>
    <w:rsid w:val="009F5829"/>
    <w:rsid w:val="009F70E6"/>
    <w:rsid w:val="00A03C71"/>
    <w:rsid w:val="00A27997"/>
    <w:rsid w:val="00A30232"/>
    <w:rsid w:val="00A360E1"/>
    <w:rsid w:val="00A41650"/>
    <w:rsid w:val="00A52F47"/>
    <w:rsid w:val="00A63E14"/>
    <w:rsid w:val="00A67211"/>
    <w:rsid w:val="00A67FCB"/>
    <w:rsid w:val="00A77339"/>
    <w:rsid w:val="00A8034C"/>
    <w:rsid w:val="00A8084B"/>
    <w:rsid w:val="00A81CF3"/>
    <w:rsid w:val="00A83A1C"/>
    <w:rsid w:val="00A83FFC"/>
    <w:rsid w:val="00A86D65"/>
    <w:rsid w:val="00A8733E"/>
    <w:rsid w:val="00A9373D"/>
    <w:rsid w:val="00A938AB"/>
    <w:rsid w:val="00AA3481"/>
    <w:rsid w:val="00AA4194"/>
    <w:rsid w:val="00AB53CF"/>
    <w:rsid w:val="00AB641F"/>
    <w:rsid w:val="00AB6C7F"/>
    <w:rsid w:val="00AC01E3"/>
    <w:rsid w:val="00AC4D6E"/>
    <w:rsid w:val="00AC713E"/>
    <w:rsid w:val="00AD214A"/>
    <w:rsid w:val="00AD34C3"/>
    <w:rsid w:val="00AE4F3B"/>
    <w:rsid w:val="00AF4694"/>
    <w:rsid w:val="00AF49E1"/>
    <w:rsid w:val="00B07B48"/>
    <w:rsid w:val="00B1448A"/>
    <w:rsid w:val="00B2096C"/>
    <w:rsid w:val="00B26210"/>
    <w:rsid w:val="00B2737A"/>
    <w:rsid w:val="00B3394C"/>
    <w:rsid w:val="00B37A03"/>
    <w:rsid w:val="00B425B6"/>
    <w:rsid w:val="00B46C44"/>
    <w:rsid w:val="00B472CF"/>
    <w:rsid w:val="00B506DA"/>
    <w:rsid w:val="00B538C7"/>
    <w:rsid w:val="00B65E42"/>
    <w:rsid w:val="00B72F1B"/>
    <w:rsid w:val="00B75253"/>
    <w:rsid w:val="00B77A6C"/>
    <w:rsid w:val="00B83A5C"/>
    <w:rsid w:val="00B8555E"/>
    <w:rsid w:val="00B900BC"/>
    <w:rsid w:val="00BA22A8"/>
    <w:rsid w:val="00BA71EF"/>
    <w:rsid w:val="00BB735D"/>
    <w:rsid w:val="00BC4429"/>
    <w:rsid w:val="00BE076F"/>
    <w:rsid w:val="00BE0D71"/>
    <w:rsid w:val="00BE6770"/>
    <w:rsid w:val="00BF400A"/>
    <w:rsid w:val="00C05338"/>
    <w:rsid w:val="00C102C2"/>
    <w:rsid w:val="00C10F2A"/>
    <w:rsid w:val="00C44E90"/>
    <w:rsid w:val="00C47F16"/>
    <w:rsid w:val="00C73C9D"/>
    <w:rsid w:val="00C75D8F"/>
    <w:rsid w:val="00C876E9"/>
    <w:rsid w:val="00C95927"/>
    <w:rsid w:val="00C95995"/>
    <w:rsid w:val="00CB2EFA"/>
    <w:rsid w:val="00CC3CA7"/>
    <w:rsid w:val="00CD35BE"/>
    <w:rsid w:val="00CD3C3C"/>
    <w:rsid w:val="00CE0342"/>
    <w:rsid w:val="00CE2001"/>
    <w:rsid w:val="00CE5D7D"/>
    <w:rsid w:val="00CF0007"/>
    <w:rsid w:val="00D0149F"/>
    <w:rsid w:val="00D17F5A"/>
    <w:rsid w:val="00D2027A"/>
    <w:rsid w:val="00D2289B"/>
    <w:rsid w:val="00D247C5"/>
    <w:rsid w:val="00D2681C"/>
    <w:rsid w:val="00D27335"/>
    <w:rsid w:val="00D52C61"/>
    <w:rsid w:val="00D53781"/>
    <w:rsid w:val="00D63064"/>
    <w:rsid w:val="00D65035"/>
    <w:rsid w:val="00D6663F"/>
    <w:rsid w:val="00D75110"/>
    <w:rsid w:val="00D85C9A"/>
    <w:rsid w:val="00D946BC"/>
    <w:rsid w:val="00D96666"/>
    <w:rsid w:val="00D966B0"/>
    <w:rsid w:val="00D9788F"/>
    <w:rsid w:val="00DA59D7"/>
    <w:rsid w:val="00DB2A62"/>
    <w:rsid w:val="00DC27A5"/>
    <w:rsid w:val="00DD04E7"/>
    <w:rsid w:val="00DD1F8A"/>
    <w:rsid w:val="00DD2499"/>
    <w:rsid w:val="00DE006A"/>
    <w:rsid w:val="00DE20E3"/>
    <w:rsid w:val="00DE3FDD"/>
    <w:rsid w:val="00DE4BD4"/>
    <w:rsid w:val="00DE76EA"/>
    <w:rsid w:val="00DE779F"/>
    <w:rsid w:val="00DF0086"/>
    <w:rsid w:val="00DF71AF"/>
    <w:rsid w:val="00E0307B"/>
    <w:rsid w:val="00E037DB"/>
    <w:rsid w:val="00E14F51"/>
    <w:rsid w:val="00E20C44"/>
    <w:rsid w:val="00E23D71"/>
    <w:rsid w:val="00E263CF"/>
    <w:rsid w:val="00E27B3F"/>
    <w:rsid w:val="00E30252"/>
    <w:rsid w:val="00E35D02"/>
    <w:rsid w:val="00E407F4"/>
    <w:rsid w:val="00E46FB0"/>
    <w:rsid w:val="00E51E83"/>
    <w:rsid w:val="00E571DE"/>
    <w:rsid w:val="00E612A7"/>
    <w:rsid w:val="00E709EE"/>
    <w:rsid w:val="00E81E66"/>
    <w:rsid w:val="00E8693A"/>
    <w:rsid w:val="00EA2679"/>
    <w:rsid w:val="00EB02ED"/>
    <w:rsid w:val="00EB1D43"/>
    <w:rsid w:val="00EB5E67"/>
    <w:rsid w:val="00EC30D4"/>
    <w:rsid w:val="00EC3516"/>
    <w:rsid w:val="00EC4172"/>
    <w:rsid w:val="00ED0CDE"/>
    <w:rsid w:val="00ED0E4A"/>
    <w:rsid w:val="00ED1142"/>
    <w:rsid w:val="00EE2071"/>
    <w:rsid w:val="00EE6AFA"/>
    <w:rsid w:val="00EF4D55"/>
    <w:rsid w:val="00F005F0"/>
    <w:rsid w:val="00F0523C"/>
    <w:rsid w:val="00F135E8"/>
    <w:rsid w:val="00F14A16"/>
    <w:rsid w:val="00F14F03"/>
    <w:rsid w:val="00F157AA"/>
    <w:rsid w:val="00F21AB9"/>
    <w:rsid w:val="00F34020"/>
    <w:rsid w:val="00F3558D"/>
    <w:rsid w:val="00F3745A"/>
    <w:rsid w:val="00F45D97"/>
    <w:rsid w:val="00F4755F"/>
    <w:rsid w:val="00F50D6B"/>
    <w:rsid w:val="00F5298E"/>
    <w:rsid w:val="00F71609"/>
    <w:rsid w:val="00F72064"/>
    <w:rsid w:val="00F75FE6"/>
    <w:rsid w:val="00FA1DD6"/>
    <w:rsid w:val="00FA3920"/>
    <w:rsid w:val="00FB74CB"/>
    <w:rsid w:val="00FD10B3"/>
    <w:rsid w:val="00FE62B9"/>
    <w:rsid w:val="00FF4A47"/>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73AC4CF"/>
  <w15:chartTrackingRefBased/>
  <w15:docId w15:val="{98C17011-6C97-4D3E-B9A3-D6BAD1BEEB8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SimSun" w:hAnsi="Calibri"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7B683B"/>
    <w:pPr>
      <w:spacing w:line="260" w:lineRule="atLeast"/>
      <w:jc w:val="both"/>
    </w:pPr>
    <w:rPr>
      <w:rFonts w:ascii="Palatino Linotype" w:hAnsi="Palatino Linotype"/>
      <w:noProof/>
      <w:color w:val="000000"/>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customStyle="1" w:styleId="MDPI11articletype">
    <w:name w:val="MDPI_1.1_article_type"/>
    <w:next w:val="Standard"/>
    <w:qFormat/>
    <w:rsid w:val="007B683B"/>
    <w:pPr>
      <w:adjustRightInd w:val="0"/>
      <w:snapToGrid w:val="0"/>
      <w:spacing w:before="240"/>
    </w:pPr>
    <w:rPr>
      <w:rFonts w:ascii="Palatino Linotype" w:eastAsia="Times New Roman" w:hAnsi="Palatino Linotype"/>
      <w:i/>
      <w:snapToGrid w:val="0"/>
      <w:color w:val="000000"/>
      <w:szCs w:val="22"/>
      <w:lang w:eastAsia="de-DE" w:bidi="en-US"/>
    </w:rPr>
  </w:style>
  <w:style w:type="paragraph" w:customStyle="1" w:styleId="MDPI12title">
    <w:name w:val="MDPI_1.2_title"/>
    <w:next w:val="Standard"/>
    <w:qFormat/>
    <w:rsid w:val="007B683B"/>
    <w:pPr>
      <w:adjustRightInd w:val="0"/>
      <w:snapToGrid w:val="0"/>
      <w:spacing w:after="240" w:line="240" w:lineRule="atLeast"/>
    </w:pPr>
    <w:rPr>
      <w:rFonts w:ascii="Palatino Linotype" w:eastAsia="Times New Roman" w:hAnsi="Palatino Linotype"/>
      <w:b/>
      <w:snapToGrid w:val="0"/>
      <w:color w:val="000000"/>
      <w:sz w:val="36"/>
      <w:lang w:eastAsia="de-DE" w:bidi="en-US"/>
    </w:rPr>
  </w:style>
  <w:style w:type="paragraph" w:customStyle="1" w:styleId="MDPI13authornames">
    <w:name w:val="MDPI_1.3_authornames"/>
    <w:next w:val="Standard"/>
    <w:qFormat/>
    <w:rsid w:val="007B683B"/>
    <w:pPr>
      <w:adjustRightInd w:val="0"/>
      <w:snapToGrid w:val="0"/>
      <w:spacing w:after="360" w:line="260" w:lineRule="atLeast"/>
    </w:pPr>
    <w:rPr>
      <w:rFonts w:ascii="Palatino Linotype" w:eastAsia="Times New Roman" w:hAnsi="Palatino Linotype"/>
      <w:b/>
      <w:color w:val="000000"/>
      <w:szCs w:val="22"/>
      <w:lang w:eastAsia="de-DE" w:bidi="en-US"/>
    </w:rPr>
  </w:style>
  <w:style w:type="paragraph" w:customStyle="1" w:styleId="MDPI14history">
    <w:name w:val="MDPI_1.4_history"/>
    <w:basedOn w:val="Standard"/>
    <w:next w:val="Standard"/>
    <w:qFormat/>
    <w:rsid w:val="007B683B"/>
    <w:pPr>
      <w:adjustRightInd w:val="0"/>
      <w:snapToGrid w:val="0"/>
      <w:spacing w:line="240" w:lineRule="atLeast"/>
      <w:ind w:right="113"/>
      <w:jc w:val="left"/>
    </w:pPr>
    <w:rPr>
      <w:rFonts w:eastAsia="Times New Roman"/>
      <w:noProof w:val="0"/>
      <w:sz w:val="14"/>
      <w:lang w:eastAsia="de-DE" w:bidi="en-US"/>
    </w:rPr>
  </w:style>
  <w:style w:type="paragraph" w:customStyle="1" w:styleId="MDPI16affiliation">
    <w:name w:val="MDPI_1.6_affiliation"/>
    <w:qFormat/>
    <w:rsid w:val="007B683B"/>
    <w:pPr>
      <w:adjustRightInd w:val="0"/>
      <w:snapToGrid w:val="0"/>
      <w:spacing w:line="200" w:lineRule="atLeast"/>
      <w:ind w:left="2806" w:hanging="198"/>
    </w:pPr>
    <w:rPr>
      <w:rFonts w:ascii="Palatino Linotype" w:eastAsia="Times New Roman" w:hAnsi="Palatino Linotype"/>
      <w:color w:val="000000"/>
      <w:sz w:val="16"/>
      <w:szCs w:val="18"/>
      <w:lang w:eastAsia="de-DE" w:bidi="en-US"/>
    </w:rPr>
  </w:style>
  <w:style w:type="paragraph" w:customStyle="1" w:styleId="MDPI17abstract">
    <w:name w:val="MDPI_1.7_abstract"/>
    <w:next w:val="Standard"/>
    <w:qFormat/>
    <w:rsid w:val="007B683B"/>
    <w:pPr>
      <w:adjustRightInd w:val="0"/>
      <w:snapToGrid w:val="0"/>
      <w:spacing w:before="240" w:line="260" w:lineRule="atLeast"/>
      <w:ind w:left="2608"/>
      <w:jc w:val="both"/>
    </w:pPr>
    <w:rPr>
      <w:rFonts w:ascii="Palatino Linotype" w:eastAsia="Times New Roman" w:hAnsi="Palatino Linotype"/>
      <w:color w:val="000000"/>
      <w:sz w:val="18"/>
      <w:szCs w:val="22"/>
      <w:lang w:eastAsia="de-DE" w:bidi="en-US"/>
    </w:rPr>
  </w:style>
  <w:style w:type="paragraph" w:customStyle="1" w:styleId="MDPI18keywords">
    <w:name w:val="MDPI_1.8_keywords"/>
    <w:next w:val="Standard"/>
    <w:qFormat/>
    <w:rsid w:val="007B683B"/>
    <w:pPr>
      <w:adjustRightInd w:val="0"/>
      <w:snapToGrid w:val="0"/>
      <w:spacing w:before="240" w:line="260" w:lineRule="atLeast"/>
      <w:ind w:left="2608"/>
      <w:jc w:val="both"/>
    </w:pPr>
    <w:rPr>
      <w:rFonts w:ascii="Palatino Linotype" w:eastAsia="Times New Roman" w:hAnsi="Palatino Linotype"/>
      <w:snapToGrid w:val="0"/>
      <w:color w:val="000000"/>
      <w:sz w:val="18"/>
      <w:szCs w:val="22"/>
      <w:lang w:eastAsia="de-DE" w:bidi="en-US"/>
    </w:rPr>
  </w:style>
  <w:style w:type="paragraph" w:customStyle="1" w:styleId="MDPI19line">
    <w:name w:val="MDPI_1.9_line"/>
    <w:qFormat/>
    <w:rsid w:val="007B683B"/>
    <w:pPr>
      <w:pBdr>
        <w:bottom w:val="single" w:sz="6" w:space="1" w:color="auto"/>
      </w:pBdr>
      <w:adjustRightInd w:val="0"/>
      <w:snapToGrid w:val="0"/>
      <w:spacing w:after="480" w:line="260" w:lineRule="atLeast"/>
      <w:ind w:left="2608"/>
      <w:jc w:val="both"/>
    </w:pPr>
    <w:rPr>
      <w:rFonts w:ascii="Palatino Linotype" w:eastAsia="Times New Roman" w:hAnsi="Palatino Linotype" w:cs="Cordia New"/>
      <w:color w:val="000000"/>
      <w:szCs w:val="24"/>
      <w:lang w:eastAsia="de-DE" w:bidi="en-US"/>
    </w:rPr>
  </w:style>
  <w:style w:type="table" w:customStyle="1" w:styleId="Mdeck5tablebodythreelines">
    <w:name w:val="M_deck_5_table_body_three_lines"/>
    <w:basedOn w:val="NormaleTabelle"/>
    <w:uiPriority w:val="99"/>
    <w:rsid w:val="00F4755F"/>
    <w:pPr>
      <w:adjustRightInd w:val="0"/>
      <w:snapToGrid w:val="0"/>
      <w:spacing w:line="300" w:lineRule="exact"/>
      <w:jc w:val="center"/>
    </w:pPr>
    <w:rPr>
      <w:rFonts w:ascii="Times New Roman" w:hAnsi="Times New Roman"/>
      <w:lang w:val="de-DE" w:eastAsia="de-DE"/>
    </w:rPr>
    <w:tblPr>
      <w:jc w:val="center"/>
      <w:tblBorders>
        <w:bottom w:val="single" w:sz="8" w:space="0" w:color="auto"/>
      </w:tblBorders>
    </w:tblPr>
    <w:trPr>
      <w:jc w:val="center"/>
    </w:trPr>
    <w:tcPr>
      <w:vAlign w:val="center"/>
    </w:tcPr>
    <w:tblStylePr w:type="firstRow">
      <w:pPr>
        <w:wordWrap/>
        <w:adjustRightInd w:val="0"/>
        <w:snapToGrid w:val="0"/>
        <w:spacing w:beforeLines="0" w:beforeAutospacing="0" w:afterLines="0" w:afterAutospacing="0" w:line="300" w:lineRule="exact"/>
        <w:ind w:leftChars="0" w:left="0" w:rightChars="0" w:right="0" w:firstLineChars="0" w:firstLine="0"/>
        <w:contextualSpacing w:val="0"/>
        <w:mirrorIndents w:val="0"/>
        <w:jc w:val="center"/>
        <w:outlineLvl w:val="9"/>
      </w:pPr>
      <w:rPr>
        <w:rFonts w:ascii="Times New Roman" w:eastAsia="Times New Roman" w:hAnsi="Times New Roman"/>
        <w:b w:val="0"/>
        <w:i w:val="0"/>
        <w:snapToGrid w:val="0"/>
        <w:sz w:val="22"/>
      </w:rPr>
      <w:tblPr/>
      <w:tcPr>
        <w:tcBorders>
          <w:top w:val="single" w:sz="8" w:space="0" w:color="auto"/>
          <w:left w:val="nil"/>
          <w:bottom w:val="single" w:sz="4" w:space="0" w:color="auto"/>
          <w:right w:val="nil"/>
          <w:insideH w:val="nil"/>
          <w:insideV w:val="nil"/>
          <w:tl2br w:val="nil"/>
          <w:tr2bl w:val="nil"/>
        </w:tcBorders>
      </w:tcPr>
    </w:tblStylePr>
  </w:style>
  <w:style w:type="table" w:styleId="Tabellenraster">
    <w:name w:val="Table Grid"/>
    <w:basedOn w:val="NormaleTabelle"/>
    <w:uiPriority w:val="59"/>
    <w:rsid w:val="007B683B"/>
    <w:pPr>
      <w:spacing w:line="260" w:lineRule="atLeast"/>
      <w:jc w:val="both"/>
    </w:pPr>
    <w:rPr>
      <w:rFonts w:ascii="Palatino Linotype" w:hAnsi="Palatino Linotype"/>
      <w:color w:val="00000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Kopfzeile">
    <w:name w:val="header"/>
    <w:basedOn w:val="Standard"/>
    <w:link w:val="KopfzeileZchn"/>
    <w:uiPriority w:val="99"/>
    <w:rsid w:val="007B683B"/>
    <w:pPr>
      <w:pBdr>
        <w:bottom w:val="single" w:sz="6" w:space="1" w:color="auto"/>
      </w:pBdr>
      <w:tabs>
        <w:tab w:val="center" w:pos="4153"/>
        <w:tab w:val="right" w:pos="8306"/>
      </w:tabs>
      <w:snapToGrid w:val="0"/>
      <w:spacing w:line="240" w:lineRule="atLeast"/>
      <w:jc w:val="center"/>
    </w:pPr>
    <w:rPr>
      <w:szCs w:val="18"/>
    </w:rPr>
  </w:style>
  <w:style w:type="character" w:customStyle="1" w:styleId="KopfzeileZchn">
    <w:name w:val="Kopfzeile Zchn"/>
    <w:link w:val="Kopfzeile"/>
    <w:uiPriority w:val="99"/>
    <w:rsid w:val="007B683B"/>
    <w:rPr>
      <w:rFonts w:ascii="Palatino Linotype" w:hAnsi="Palatino Linotype"/>
      <w:noProof/>
      <w:color w:val="000000"/>
      <w:szCs w:val="18"/>
    </w:rPr>
  </w:style>
  <w:style w:type="paragraph" w:customStyle="1" w:styleId="MDPIheaderjournallogo">
    <w:name w:val="MDPI_header_journal_logo"/>
    <w:qFormat/>
    <w:rsid w:val="007B683B"/>
    <w:pPr>
      <w:adjustRightInd w:val="0"/>
      <w:snapToGrid w:val="0"/>
      <w:spacing w:line="260" w:lineRule="atLeast"/>
      <w:jc w:val="both"/>
    </w:pPr>
    <w:rPr>
      <w:rFonts w:ascii="Palatino Linotype" w:eastAsia="Times New Roman" w:hAnsi="Palatino Linotype"/>
      <w:i/>
      <w:color w:val="000000"/>
      <w:sz w:val="24"/>
      <w:szCs w:val="22"/>
      <w:lang w:eastAsia="de-CH"/>
    </w:rPr>
  </w:style>
  <w:style w:type="paragraph" w:customStyle="1" w:styleId="MDPI32textnoindent">
    <w:name w:val="MDPI_3.2_text_no_indent"/>
    <w:basedOn w:val="MDPI31text"/>
    <w:qFormat/>
    <w:rsid w:val="007B683B"/>
    <w:pPr>
      <w:ind w:firstLine="0"/>
    </w:pPr>
  </w:style>
  <w:style w:type="paragraph" w:customStyle="1" w:styleId="MDPI31text">
    <w:name w:val="MDPI_3.1_text"/>
    <w:qFormat/>
    <w:rsid w:val="008571EC"/>
    <w:pPr>
      <w:adjustRightInd w:val="0"/>
      <w:snapToGrid w:val="0"/>
      <w:spacing w:line="228" w:lineRule="auto"/>
      <w:ind w:left="2608" w:firstLine="425"/>
      <w:jc w:val="both"/>
    </w:pPr>
    <w:rPr>
      <w:rFonts w:ascii="Palatino Linotype" w:eastAsia="Times New Roman" w:hAnsi="Palatino Linotype"/>
      <w:snapToGrid w:val="0"/>
      <w:color w:val="000000"/>
      <w:szCs w:val="22"/>
      <w:lang w:eastAsia="de-DE" w:bidi="en-US"/>
    </w:rPr>
  </w:style>
  <w:style w:type="paragraph" w:customStyle="1" w:styleId="MDPI33textspaceafter">
    <w:name w:val="MDPI_3.3_text_space_after"/>
    <w:qFormat/>
    <w:rsid w:val="007B683B"/>
    <w:pPr>
      <w:adjustRightInd w:val="0"/>
      <w:snapToGrid w:val="0"/>
      <w:spacing w:after="240" w:line="228" w:lineRule="auto"/>
      <w:ind w:left="2608"/>
      <w:jc w:val="both"/>
    </w:pPr>
    <w:rPr>
      <w:rFonts w:ascii="Palatino Linotype" w:eastAsia="Times New Roman" w:hAnsi="Palatino Linotype"/>
      <w:snapToGrid w:val="0"/>
      <w:color w:val="000000"/>
      <w:szCs w:val="22"/>
      <w:lang w:eastAsia="de-DE" w:bidi="en-US"/>
    </w:rPr>
  </w:style>
  <w:style w:type="paragraph" w:customStyle="1" w:styleId="MDPI35textbeforelist">
    <w:name w:val="MDPI_3.5_text_before_list"/>
    <w:qFormat/>
    <w:rsid w:val="007B683B"/>
    <w:pPr>
      <w:adjustRightInd w:val="0"/>
      <w:snapToGrid w:val="0"/>
      <w:spacing w:line="228" w:lineRule="auto"/>
      <w:ind w:left="2608" w:firstLine="425"/>
      <w:jc w:val="both"/>
    </w:pPr>
    <w:rPr>
      <w:rFonts w:ascii="Palatino Linotype" w:eastAsia="Times New Roman" w:hAnsi="Palatino Linotype"/>
      <w:snapToGrid w:val="0"/>
      <w:color w:val="000000"/>
      <w:szCs w:val="22"/>
      <w:lang w:eastAsia="de-DE" w:bidi="en-US"/>
    </w:rPr>
  </w:style>
  <w:style w:type="paragraph" w:customStyle="1" w:styleId="MDPI36textafterlist">
    <w:name w:val="MDPI_3.6_text_after_list"/>
    <w:qFormat/>
    <w:rsid w:val="007B683B"/>
    <w:pPr>
      <w:adjustRightInd w:val="0"/>
      <w:snapToGrid w:val="0"/>
      <w:spacing w:before="120" w:line="228" w:lineRule="auto"/>
      <w:ind w:left="2608"/>
      <w:jc w:val="both"/>
    </w:pPr>
    <w:rPr>
      <w:rFonts w:ascii="Palatino Linotype" w:eastAsia="Times New Roman" w:hAnsi="Palatino Linotype"/>
      <w:snapToGrid w:val="0"/>
      <w:color w:val="000000"/>
      <w:szCs w:val="22"/>
      <w:lang w:eastAsia="de-DE" w:bidi="en-US"/>
    </w:rPr>
  </w:style>
  <w:style w:type="paragraph" w:customStyle="1" w:styleId="MDPI37itemize">
    <w:name w:val="MDPI_3.7_itemize"/>
    <w:qFormat/>
    <w:rsid w:val="00B46C44"/>
    <w:pPr>
      <w:numPr>
        <w:numId w:val="21"/>
      </w:numPr>
      <w:adjustRightInd w:val="0"/>
      <w:snapToGrid w:val="0"/>
      <w:spacing w:line="228" w:lineRule="auto"/>
      <w:jc w:val="both"/>
    </w:pPr>
    <w:rPr>
      <w:rFonts w:ascii="Palatino Linotype" w:eastAsia="Times New Roman" w:hAnsi="Palatino Linotype"/>
      <w:color w:val="000000"/>
      <w:szCs w:val="22"/>
      <w:lang w:eastAsia="de-DE" w:bidi="en-US"/>
    </w:rPr>
  </w:style>
  <w:style w:type="paragraph" w:customStyle="1" w:styleId="MDPI38bullet">
    <w:name w:val="MDPI_3.8_bullet"/>
    <w:qFormat/>
    <w:rsid w:val="00B46C44"/>
    <w:pPr>
      <w:numPr>
        <w:numId w:val="22"/>
      </w:numPr>
      <w:adjustRightInd w:val="0"/>
      <w:snapToGrid w:val="0"/>
      <w:spacing w:line="228" w:lineRule="auto"/>
      <w:jc w:val="both"/>
    </w:pPr>
    <w:rPr>
      <w:rFonts w:ascii="Palatino Linotype" w:eastAsia="Times New Roman" w:hAnsi="Palatino Linotype"/>
      <w:color w:val="000000"/>
      <w:szCs w:val="22"/>
      <w:lang w:eastAsia="de-DE" w:bidi="en-US"/>
    </w:rPr>
  </w:style>
  <w:style w:type="paragraph" w:customStyle="1" w:styleId="MDPI39equation">
    <w:name w:val="MDPI_3.9_equation"/>
    <w:qFormat/>
    <w:rsid w:val="007B683B"/>
    <w:pPr>
      <w:adjustRightInd w:val="0"/>
      <w:snapToGrid w:val="0"/>
      <w:spacing w:before="120" w:after="120" w:line="260" w:lineRule="atLeast"/>
      <w:ind w:left="709"/>
      <w:jc w:val="center"/>
    </w:pPr>
    <w:rPr>
      <w:rFonts w:ascii="Palatino Linotype" w:eastAsia="Times New Roman" w:hAnsi="Palatino Linotype"/>
      <w:snapToGrid w:val="0"/>
      <w:color w:val="000000"/>
      <w:szCs w:val="22"/>
      <w:lang w:eastAsia="de-DE" w:bidi="en-US"/>
    </w:rPr>
  </w:style>
  <w:style w:type="paragraph" w:customStyle="1" w:styleId="MDPI3aequationnumber">
    <w:name w:val="MDPI_3.a_equation_number"/>
    <w:qFormat/>
    <w:rsid w:val="007B683B"/>
    <w:pPr>
      <w:spacing w:before="120" w:after="120"/>
      <w:jc w:val="right"/>
    </w:pPr>
    <w:rPr>
      <w:rFonts w:ascii="Palatino Linotype" w:eastAsia="Times New Roman" w:hAnsi="Palatino Linotype"/>
      <w:snapToGrid w:val="0"/>
      <w:color w:val="000000"/>
      <w:szCs w:val="22"/>
      <w:lang w:eastAsia="de-DE" w:bidi="en-US"/>
    </w:rPr>
  </w:style>
  <w:style w:type="paragraph" w:customStyle="1" w:styleId="MDPI41tablecaption">
    <w:name w:val="MDPI_4.1_table_caption"/>
    <w:qFormat/>
    <w:rsid w:val="007B683B"/>
    <w:pPr>
      <w:adjustRightInd w:val="0"/>
      <w:snapToGrid w:val="0"/>
      <w:spacing w:before="240" w:after="120" w:line="228" w:lineRule="auto"/>
      <w:ind w:left="2608"/>
      <w:jc w:val="both"/>
    </w:pPr>
    <w:rPr>
      <w:rFonts w:ascii="Palatino Linotype" w:eastAsia="Times New Roman" w:hAnsi="Palatino Linotype" w:cs="Cordia New"/>
      <w:color w:val="000000"/>
      <w:sz w:val="18"/>
      <w:szCs w:val="22"/>
      <w:lang w:eastAsia="de-DE" w:bidi="en-US"/>
    </w:rPr>
  </w:style>
  <w:style w:type="paragraph" w:customStyle="1" w:styleId="MDPI42tablebody">
    <w:name w:val="MDPI_4.2_table_body"/>
    <w:qFormat/>
    <w:rsid w:val="00A8733E"/>
    <w:pPr>
      <w:adjustRightInd w:val="0"/>
      <w:snapToGrid w:val="0"/>
      <w:spacing w:line="260" w:lineRule="atLeast"/>
      <w:jc w:val="center"/>
    </w:pPr>
    <w:rPr>
      <w:rFonts w:ascii="Palatino Linotype" w:eastAsia="Times New Roman" w:hAnsi="Palatino Linotype"/>
      <w:snapToGrid w:val="0"/>
      <w:color w:val="000000"/>
      <w:lang w:eastAsia="de-DE" w:bidi="en-US"/>
    </w:rPr>
  </w:style>
  <w:style w:type="paragraph" w:customStyle="1" w:styleId="MDPI43tablefooter">
    <w:name w:val="MDPI_4.3_table_footer"/>
    <w:next w:val="MDPI31text"/>
    <w:qFormat/>
    <w:rsid w:val="007B683B"/>
    <w:pPr>
      <w:adjustRightInd w:val="0"/>
      <w:snapToGrid w:val="0"/>
      <w:spacing w:line="228" w:lineRule="auto"/>
      <w:ind w:left="2608"/>
      <w:jc w:val="both"/>
    </w:pPr>
    <w:rPr>
      <w:rFonts w:ascii="Palatino Linotype" w:eastAsia="Times New Roman" w:hAnsi="Palatino Linotype" w:cs="Cordia New"/>
      <w:color w:val="000000"/>
      <w:sz w:val="18"/>
      <w:szCs w:val="22"/>
      <w:lang w:eastAsia="de-DE" w:bidi="en-US"/>
    </w:rPr>
  </w:style>
  <w:style w:type="paragraph" w:customStyle="1" w:styleId="MDPI51figurecaption">
    <w:name w:val="MDPI_5.1_figure_caption"/>
    <w:qFormat/>
    <w:rsid w:val="007B683B"/>
    <w:pPr>
      <w:adjustRightInd w:val="0"/>
      <w:snapToGrid w:val="0"/>
      <w:spacing w:before="120" w:after="240" w:line="228" w:lineRule="auto"/>
      <w:ind w:left="2608"/>
      <w:jc w:val="both"/>
    </w:pPr>
    <w:rPr>
      <w:rFonts w:ascii="Palatino Linotype" w:eastAsia="Times New Roman" w:hAnsi="Palatino Linotype"/>
      <w:color w:val="000000"/>
      <w:sz w:val="18"/>
      <w:lang w:eastAsia="de-DE" w:bidi="en-US"/>
    </w:rPr>
  </w:style>
  <w:style w:type="paragraph" w:customStyle="1" w:styleId="MDPI52figure">
    <w:name w:val="MDPI_5.2_figure"/>
    <w:qFormat/>
    <w:rsid w:val="007B683B"/>
    <w:pPr>
      <w:adjustRightInd w:val="0"/>
      <w:snapToGrid w:val="0"/>
      <w:spacing w:before="240" w:after="120"/>
      <w:jc w:val="center"/>
    </w:pPr>
    <w:rPr>
      <w:rFonts w:ascii="Palatino Linotype" w:eastAsia="Times New Roman" w:hAnsi="Palatino Linotype"/>
      <w:snapToGrid w:val="0"/>
      <w:color w:val="000000"/>
      <w:lang w:eastAsia="de-DE" w:bidi="en-US"/>
    </w:rPr>
  </w:style>
  <w:style w:type="paragraph" w:customStyle="1" w:styleId="MDPI23heading3">
    <w:name w:val="MDPI_2.3_heading3"/>
    <w:qFormat/>
    <w:rsid w:val="007B683B"/>
    <w:pPr>
      <w:adjustRightInd w:val="0"/>
      <w:snapToGrid w:val="0"/>
      <w:spacing w:before="60" w:after="60" w:line="228" w:lineRule="auto"/>
      <w:ind w:left="2608"/>
      <w:outlineLvl w:val="2"/>
    </w:pPr>
    <w:rPr>
      <w:rFonts w:ascii="Palatino Linotype" w:eastAsia="Times New Roman" w:hAnsi="Palatino Linotype"/>
      <w:snapToGrid w:val="0"/>
      <w:color w:val="000000"/>
      <w:szCs w:val="22"/>
      <w:lang w:eastAsia="de-DE" w:bidi="en-US"/>
    </w:rPr>
  </w:style>
  <w:style w:type="paragraph" w:customStyle="1" w:styleId="MDPI21heading1">
    <w:name w:val="MDPI_2.1_heading1"/>
    <w:qFormat/>
    <w:rsid w:val="007B683B"/>
    <w:pPr>
      <w:adjustRightInd w:val="0"/>
      <w:snapToGrid w:val="0"/>
      <w:spacing w:before="240" w:after="60" w:line="228" w:lineRule="auto"/>
      <w:ind w:left="2608"/>
      <w:outlineLvl w:val="0"/>
    </w:pPr>
    <w:rPr>
      <w:rFonts w:ascii="Palatino Linotype" w:eastAsia="Times New Roman" w:hAnsi="Palatino Linotype"/>
      <w:b/>
      <w:snapToGrid w:val="0"/>
      <w:color w:val="000000"/>
      <w:szCs w:val="22"/>
      <w:lang w:eastAsia="de-DE" w:bidi="en-US"/>
    </w:rPr>
  </w:style>
  <w:style w:type="paragraph" w:customStyle="1" w:styleId="MDPI22heading2">
    <w:name w:val="MDPI_2.2_heading2"/>
    <w:qFormat/>
    <w:rsid w:val="007B683B"/>
    <w:pPr>
      <w:adjustRightInd w:val="0"/>
      <w:snapToGrid w:val="0"/>
      <w:spacing w:before="60" w:after="60" w:line="228" w:lineRule="auto"/>
      <w:ind w:left="2608"/>
      <w:outlineLvl w:val="1"/>
    </w:pPr>
    <w:rPr>
      <w:rFonts w:ascii="Palatino Linotype" w:eastAsia="Times New Roman" w:hAnsi="Palatino Linotype"/>
      <w:i/>
      <w:noProof/>
      <w:snapToGrid w:val="0"/>
      <w:color w:val="000000"/>
      <w:szCs w:val="22"/>
      <w:lang w:eastAsia="de-DE" w:bidi="en-US"/>
    </w:rPr>
  </w:style>
  <w:style w:type="paragraph" w:customStyle="1" w:styleId="MDPI71References">
    <w:name w:val="MDPI_7.1_References"/>
    <w:qFormat/>
    <w:rsid w:val="00EF4D55"/>
    <w:pPr>
      <w:numPr>
        <w:numId w:val="23"/>
      </w:numPr>
      <w:adjustRightInd w:val="0"/>
      <w:snapToGrid w:val="0"/>
      <w:spacing w:line="228" w:lineRule="auto"/>
      <w:jc w:val="both"/>
    </w:pPr>
    <w:rPr>
      <w:rFonts w:ascii="Palatino Linotype" w:eastAsia="Times New Roman" w:hAnsi="Palatino Linotype"/>
      <w:color w:val="000000"/>
      <w:sz w:val="18"/>
      <w:lang w:eastAsia="de-DE" w:bidi="en-US"/>
    </w:rPr>
  </w:style>
  <w:style w:type="paragraph" w:styleId="Sprechblasentext">
    <w:name w:val="Balloon Text"/>
    <w:basedOn w:val="Standard"/>
    <w:link w:val="SprechblasentextZchn"/>
    <w:uiPriority w:val="99"/>
    <w:rsid w:val="007B683B"/>
    <w:rPr>
      <w:rFonts w:cs="Tahoma"/>
      <w:szCs w:val="18"/>
    </w:rPr>
  </w:style>
  <w:style w:type="character" w:customStyle="1" w:styleId="SprechblasentextZchn">
    <w:name w:val="Sprechblasentext Zchn"/>
    <w:link w:val="Sprechblasentext"/>
    <w:uiPriority w:val="99"/>
    <w:rsid w:val="007B683B"/>
    <w:rPr>
      <w:rFonts w:ascii="Palatino Linotype" w:hAnsi="Palatino Linotype" w:cs="Tahoma"/>
      <w:noProof/>
      <w:color w:val="000000"/>
      <w:szCs w:val="18"/>
    </w:rPr>
  </w:style>
  <w:style w:type="character" w:styleId="Zeilennummer">
    <w:name w:val="line number"/>
    <w:uiPriority w:val="99"/>
    <w:rsid w:val="00757523"/>
    <w:rPr>
      <w:rFonts w:ascii="Palatino Linotype" w:hAnsi="Palatino Linotype"/>
      <w:sz w:val="16"/>
    </w:rPr>
  </w:style>
  <w:style w:type="table" w:customStyle="1" w:styleId="MDPI41threelinetable">
    <w:name w:val="MDPI_4.1_three_line_table"/>
    <w:basedOn w:val="NormaleTabelle"/>
    <w:uiPriority w:val="99"/>
    <w:rsid w:val="007B683B"/>
    <w:pPr>
      <w:adjustRightInd w:val="0"/>
      <w:snapToGrid w:val="0"/>
      <w:jc w:val="center"/>
    </w:pPr>
    <w:rPr>
      <w:rFonts w:ascii="Palatino Linotype" w:hAnsi="Palatino Linotype"/>
      <w:color w:val="000000"/>
    </w:rPr>
    <w:tblPr>
      <w:jc w:val="center"/>
      <w:tblBorders>
        <w:top w:val="single" w:sz="8" w:space="0" w:color="auto"/>
        <w:bottom w:val="single" w:sz="8" w:space="0" w:color="auto"/>
      </w:tblBorders>
    </w:tblPr>
    <w:trPr>
      <w:jc w:val="center"/>
    </w:trPr>
    <w:tcPr>
      <w:vAlign w:val="center"/>
    </w:tcPr>
    <w:tblStylePr w:type="firstRow">
      <w:rPr>
        <w:rFonts w:ascii="Palatino Linotype" w:hAnsi="Palatino Linotype"/>
        <w:b/>
        <w:i w:val="0"/>
        <w:sz w:val="20"/>
      </w:rPr>
      <w:tblPr/>
      <w:tcPr>
        <w:tcBorders>
          <w:bottom w:val="single" w:sz="4" w:space="0" w:color="auto"/>
        </w:tcBorders>
      </w:tcPr>
    </w:tblStylePr>
  </w:style>
  <w:style w:type="character" w:styleId="Hyperlink">
    <w:name w:val="Hyperlink"/>
    <w:uiPriority w:val="99"/>
    <w:rsid w:val="007B683B"/>
    <w:rPr>
      <w:color w:val="0000FF"/>
      <w:u w:val="single"/>
    </w:rPr>
  </w:style>
  <w:style w:type="character" w:styleId="NichtaufgelsteErwhnung">
    <w:name w:val="Unresolved Mention"/>
    <w:uiPriority w:val="99"/>
    <w:semiHidden/>
    <w:unhideWhenUsed/>
    <w:rsid w:val="007652B2"/>
    <w:rPr>
      <w:color w:val="605E5C"/>
      <w:shd w:val="clear" w:color="auto" w:fill="E1DFDD"/>
    </w:rPr>
  </w:style>
  <w:style w:type="paragraph" w:styleId="Fuzeile">
    <w:name w:val="footer"/>
    <w:basedOn w:val="Standard"/>
    <w:link w:val="FuzeileZchn"/>
    <w:uiPriority w:val="99"/>
    <w:rsid w:val="007B683B"/>
    <w:pPr>
      <w:tabs>
        <w:tab w:val="center" w:pos="4153"/>
        <w:tab w:val="right" w:pos="8306"/>
      </w:tabs>
      <w:snapToGrid w:val="0"/>
      <w:spacing w:line="240" w:lineRule="atLeast"/>
    </w:pPr>
    <w:rPr>
      <w:szCs w:val="18"/>
    </w:rPr>
  </w:style>
  <w:style w:type="character" w:customStyle="1" w:styleId="FuzeileZchn">
    <w:name w:val="Fußzeile Zchn"/>
    <w:link w:val="Fuzeile"/>
    <w:uiPriority w:val="99"/>
    <w:rsid w:val="007B683B"/>
    <w:rPr>
      <w:rFonts w:ascii="Palatino Linotype" w:hAnsi="Palatino Linotype"/>
      <w:noProof/>
      <w:color w:val="000000"/>
      <w:szCs w:val="18"/>
    </w:rPr>
  </w:style>
  <w:style w:type="table" w:styleId="EinfacheTabelle4">
    <w:name w:val="Plain Table 4"/>
    <w:basedOn w:val="NormaleTabelle"/>
    <w:uiPriority w:val="44"/>
    <w:rsid w:val="00961819"/>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MDPI34textspacebefore">
    <w:name w:val="MDPI_3.4_text_space_before"/>
    <w:qFormat/>
    <w:rsid w:val="007B683B"/>
    <w:pPr>
      <w:adjustRightInd w:val="0"/>
      <w:snapToGrid w:val="0"/>
      <w:spacing w:before="240" w:line="228" w:lineRule="auto"/>
      <w:ind w:left="2608"/>
      <w:jc w:val="both"/>
    </w:pPr>
    <w:rPr>
      <w:rFonts w:ascii="Palatino Linotype" w:eastAsia="Times New Roman" w:hAnsi="Palatino Linotype"/>
      <w:snapToGrid w:val="0"/>
      <w:color w:val="000000"/>
      <w:szCs w:val="22"/>
      <w:lang w:eastAsia="de-DE" w:bidi="en-US"/>
    </w:rPr>
  </w:style>
  <w:style w:type="paragraph" w:customStyle="1" w:styleId="MDPI81theorem">
    <w:name w:val="MDPI_8.1_theorem"/>
    <w:qFormat/>
    <w:rsid w:val="007B683B"/>
    <w:pPr>
      <w:adjustRightInd w:val="0"/>
      <w:snapToGrid w:val="0"/>
      <w:spacing w:line="228" w:lineRule="auto"/>
      <w:ind w:left="2608"/>
      <w:jc w:val="both"/>
    </w:pPr>
    <w:rPr>
      <w:rFonts w:ascii="Palatino Linotype" w:eastAsia="Times New Roman" w:hAnsi="Palatino Linotype"/>
      <w:i/>
      <w:snapToGrid w:val="0"/>
      <w:color w:val="000000"/>
      <w:szCs w:val="22"/>
      <w:lang w:eastAsia="de-DE" w:bidi="en-US"/>
    </w:rPr>
  </w:style>
  <w:style w:type="paragraph" w:customStyle="1" w:styleId="MDPI82proof">
    <w:name w:val="MDPI_8.2_proof"/>
    <w:qFormat/>
    <w:rsid w:val="007B683B"/>
    <w:pPr>
      <w:adjustRightInd w:val="0"/>
      <w:snapToGrid w:val="0"/>
      <w:spacing w:line="228" w:lineRule="auto"/>
      <w:ind w:left="2608"/>
      <w:jc w:val="both"/>
    </w:pPr>
    <w:rPr>
      <w:rFonts w:ascii="Palatino Linotype" w:eastAsia="Times New Roman" w:hAnsi="Palatino Linotype"/>
      <w:snapToGrid w:val="0"/>
      <w:color w:val="000000"/>
      <w:szCs w:val="22"/>
      <w:lang w:eastAsia="de-DE" w:bidi="en-US"/>
    </w:rPr>
  </w:style>
  <w:style w:type="paragraph" w:customStyle="1" w:styleId="MDPI61Citation">
    <w:name w:val="MDPI_6.1_Citation"/>
    <w:qFormat/>
    <w:rsid w:val="007B683B"/>
    <w:pPr>
      <w:adjustRightInd w:val="0"/>
      <w:snapToGrid w:val="0"/>
      <w:spacing w:line="240" w:lineRule="atLeast"/>
      <w:ind w:right="113"/>
    </w:pPr>
    <w:rPr>
      <w:rFonts w:ascii="Palatino Linotype" w:hAnsi="Palatino Linotype" w:cs="Cordia New"/>
      <w:sz w:val="14"/>
      <w:szCs w:val="22"/>
    </w:rPr>
  </w:style>
  <w:style w:type="paragraph" w:customStyle="1" w:styleId="MDPI62BackMatter">
    <w:name w:val="MDPI_6.2_BackMatter"/>
    <w:qFormat/>
    <w:rsid w:val="007B683B"/>
    <w:pPr>
      <w:adjustRightInd w:val="0"/>
      <w:snapToGrid w:val="0"/>
      <w:spacing w:after="120" w:line="228" w:lineRule="auto"/>
      <w:ind w:left="2608"/>
      <w:jc w:val="both"/>
    </w:pPr>
    <w:rPr>
      <w:rFonts w:ascii="Palatino Linotype" w:eastAsia="Times New Roman" w:hAnsi="Palatino Linotype"/>
      <w:snapToGrid w:val="0"/>
      <w:color w:val="000000"/>
      <w:sz w:val="18"/>
      <w:lang w:eastAsia="en-US" w:bidi="en-US"/>
    </w:rPr>
  </w:style>
  <w:style w:type="paragraph" w:customStyle="1" w:styleId="MDPI63Notes">
    <w:name w:val="MDPI_6.3_Notes"/>
    <w:qFormat/>
    <w:rsid w:val="007B683B"/>
    <w:pPr>
      <w:adjustRightInd w:val="0"/>
      <w:snapToGrid w:val="0"/>
      <w:spacing w:after="120" w:line="240" w:lineRule="atLeast"/>
      <w:ind w:right="113"/>
    </w:pPr>
    <w:rPr>
      <w:rFonts w:ascii="Palatino Linotype" w:hAnsi="Palatino Linotype"/>
      <w:snapToGrid w:val="0"/>
      <w:color w:val="000000"/>
      <w:sz w:val="14"/>
      <w:lang w:eastAsia="en-US" w:bidi="en-US"/>
    </w:rPr>
  </w:style>
  <w:style w:type="paragraph" w:customStyle="1" w:styleId="MDPI15academiceditor">
    <w:name w:val="MDPI_1.5_academic_editor"/>
    <w:qFormat/>
    <w:rsid w:val="00775A02"/>
    <w:pPr>
      <w:adjustRightInd w:val="0"/>
      <w:snapToGrid w:val="0"/>
      <w:spacing w:before="120" w:line="240" w:lineRule="atLeast"/>
      <w:ind w:right="113"/>
    </w:pPr>
    <w:rPr>
      <w:rFonts w:ascii="Palatino Linotype" w:eastAsia="Times New Roman" w:hAnsi="Palatino Linotype"/>
      <w:color w:val="000000"/>
      <w:sz w:val="14"/>
      <w:szCs w:val="22"/>
      <w:lang w:eastAsia="de-DE" w:bidi="en-US"/>
    </w:rPr>
  </w:style>
  <w:style w:type="paragraph" w:customStyle="1" w:styleId="MDPI19classification">
    <w:name w:val="MDPI_1.9_classification"/>
    <w:qFormat/>
    <w:rsid w:val="007B683B"/>
    <w:pPr>
      <w:spacing w:before="240" w:line="260" w:lineRule="atLeast"/>
      <w:ind w:left="113"/>
      <w:jc w:val="both"/>
    </w:pPr>
    <w:rPr>
      <w:rFonts w:ascii="Palatino Linotype" w:eastAsia="Times New Roman" w:hAnsi="Palatino Linotype"/>
      <w:b/>
      <w:color w:val="000000"/>
      <w:szCs w:val="22"/>
      <w:lang w:eastAsia="de-DE" w:bidi="en-US"/>
    </w:rPr>
  </w:style>
  <w:style w:type="paragraph" w:customStyle="1" w:styleId="MDPI411onetablecaption">
    <w:name w:val="MDPI_4.1.1_one_table_caption"/>
    <w:qFormat/>
    <w:rsid w:val="007B683B"/>
    <w:pPr>
      <w:adjustRightInd w:val="0"/>
      <w:snapToGrid w:val="0"/>
      <w:spacing w:before="240" w:after="120" w:line="260" w:lineRule="atLeast"/>
      <w:jc w:val="center"/>
    </w:pPr>
    <w:rPr>
      <w:rFonts w:ascii="Palatino Linotype" w:hAnsi="Palatino Linotype" w:cs="Cordia New"/>
      <w:noProof/>
      <w:color w:val="000000"/>
      <w:sz w:val="18"/>
      <w:szCs w:val="22"/>
      <w:lang w:bidi="en-US"/>
    </w:rPr>
  </w:style>
  <w:style w:type="paragraph" w:customStyle="1" w:styleId="MDPI511onefigurecaption">
    <w:name w:val="MDPI_5.1.1_one_figure_caption"/>
    <w:qFormat/>
    <w:rsid w:val="007B683B"/>
    <w:pPr>
      <w:adjustRightInd w:val="0"/>
      <w:snapToGrid w:val="0"/>
      <w:spacing w:before="240" w:after="120" w:line="260" w:lineRule="atLeast"/>
      <w:jc w:val="center"/>
    </w:pPr>
    <w:rPr>
      <w:rFonts w:ascii="Palatino Linotype" w:hAnsi="Palatino Linotype"/>
      <w:noProof/>
      <w:color w:val="000000"/>
      <w:sz w:val="18"/>
      <w:lang w:bidi="en-US"/>
    </w:rPr>
  </w:style>
  <w:style w:type="paragraph" w:customStyle="1" w:styleId="MDPI72Copyright">
    <w:name w:val="MDPI_7.2_Copyright"/>
    <w:qFormat/>
    <w:rsid w:val="007B683B"/>
    <w:pPr>
      <w:adjustRightInd w:val="0"/>
      <w:snapToGrid w:val="0"/>
      <w:spacing w:before="240" w:line="240" w:lineRule="atLeast"/>
      <w:ind w:right="113"/>
    </w:pPr>
    <w:rPr>
      <w:rFonts w:ascii="Palatino Linotype" w:eastAsia="Times New Roman" w:hAnsi="Palatino Linotype"/>
      <w:noProof/>
      <w:snapToGrid w:val="0"/>
      <w:color w:val="000000"/>
      <w:spacing w:val="-2"/>
      <w:sz w:val="14"/>
      <w:lang w:val="en-GB" w:eastAsia="en-GB"/>
    </w:rPr>
  </w:style>
  <w:style w:type="paragraph" w:customStyle="1" w:styleId="MDPI73CopyrightImage">
    <w:name w:val="MDPI_7.3_CopyrightImage"/>
    <w:rsid w:val="007B683B"/>
    <w:pPr>
      <w:adjustRightInd w:val="0"/>
      <w:snapToGrid w:val="0"/>
      <w:spacing w:after="100" w:line="260" w:lineRule="atLeast"/>
      <w:jc w:val="right"/>
    </w:pPr>
    <w:rPr>
      <w:rFonts w:ascii="Palatino Linotype" w:eastAsia="Times New Roman" w:hAnsi="Palatino Linotype"/>
      <w:color w:val="000000"/>
      <w:lang w:eastAsia="de-CH"/>
    </w:rPr>
  </w:style>
  <w:style w:type="paragraph" w:customStyle="1" w:styleId="MDPIequationFram">
    <w:name w:val="MDPI_equationFram"/>
    <w:qFormat/>
    <w:rsid w:val="007B683B"/>
    <w:pPr>
      <w:adjustRightInd w:val="0"/>
      <w:snapToGrid w:val="0"/>
      <w:spacing w:before="120" w:after="120"/>
      <w:jc w:val="center"/>
    </w:pPr>
    <w:rPr>
      <w:rFonts w:ascii="Palatino Linotype" w:eastAsia="Times New Roman" w:hAnsi="Palatino Linotype"/>
      <w:snapToGrid w:val="0"/>
      <w:color w:val="000000"/>
      <w:szCs w:val="22"/>
      <w:lang w:eastAsia="de-DE" w:bidi="en-US"/>
    </w:rPr>
  </w:style>
  <w:style w:type="paragraph" w:customStyle="1" w:styleId="MDPIfooter">
    <w:name w:val="MDPI_footer"/>
    <w:qFormat/>
    <w:rsid w:val="007B683B"/>
    <w:pPr>
      <w:adjustRightInd w:val="0"/>
      <w:snapToGrid w:val="0"/>
      <w:spacing w:before="120" w:line="260" w:lineRule="atLeast"/>
      <w:jc w:val="center"/>
    </w:pPr>
    <w:rPr>
      <w:rFonts w:ascii="Palatino Linotype" w:eastAsia="Times New Roman" w:hAnsi="Palatino Linotype"/>
      <w:color w:val="000000"/>
      <w:lang w:eastAsia="de-DE"/>
    </w:rPr>
  </w:style>
  <w:style w:type="paragraph" w:customStyle="1" w:styleId="MDPIfooterfirstpage">
    <w:name w:val="MDPI_footer_firstpage"/>
    <w:qFormat/>
    <w:rsid w:val="007B683B"/>
    <w:pPr>
      <w:tabs>
        <w:tab w:val="right" w:pos="8845"/>
      </w:tabs>
      <w:spacing w:line="160" w:lineRule="exact"/>
    </w:pPr>
    <w:rPr>
      <w:rFonts w:ascii="Palatino Linotype" w:eastAsia="Times New Roman" w:hAnsi="Palatino Linotype"/>
      <w:color w:val="000000"/>
      <w:sz w:val="16"/>
      <w:lang w:eastAsia="de-DE"/>
    </w:rPr>
  </w:style>
  <w:style w:type="paragraph" w:customStyle="1" w:styleId="MDPIheader">
    <w:name w:val="MDPI_header"/>
    <w:qFormat/>
    <w:rsid w:val="007B683B"/>
    <w:pPr>
      <w:adjustRightInd w:val="0"/>
      <w:snapToGrid w:val="0"/>
      <w:spacing w:after="240" w:line="260" w:lineRule="atLeast"/>
      <w:jc w:val="both"/>
    </w:pPr>
    <w:rPr>
      <w:rFonts w:ascii="Palatino Linotype" w:eastAsia="Times New Roman" w:hAnsi="Palatino Linotype"/>
      <w:iCs/>
      <w:color w:val="000000"/>
      <w:sz w:val="16"/>
      <w:lang w:eastAsia="de-DE"/>
    </w:rPr>
  </w:style>
  <w:style w:type="paragraph" w:customStyle="1" w:styleId="MDPIheadercitation">
    <w:name w:val="MDPI_header_citation"/>
    <w:rsid w:val="007B683B"/>
    <w:pPr>
      <w:spacing w:after="240"/>
    </w:pPr>
    <w:rPr>
      <w:rFonts w:ascii="Palatino Linotype" w:eastAsia="Times New Roman" w:hAnsi="Palatino Linotype"/>
      <w:snapToGrid w:val="0"/>
      <w:color w:val="000000"/>
      <w:sz w:val="18"/>
      <w:lang w:eastAsia="de-DE" w:bidi="en-US"/>
    </w:rPr>
  </w:style>
  <w:style w:type="paragraph" w:customStyle="1" w:styleId="MDPIheadermdpilogo">
    <w:name w:val="MDPI_header_mdpi_logo"/>
    <w:qFormat/>
    <w:rsid w:val="007B683B"/>
    <w:pPr>
      <w:adjustRightInd w:val="0"/>
      <w:snapToGrid w:val="0"/>
      <w:spacing w:line="260" w:lineRule="atLeast"/>
      <w:jc w:val="right"/>
    </w:pPr>
    <w:rPr>
      <w:rFonts w:ascii="Palatino Linotype" w:eastAsia="Times New Roman" w:hAnsi="Palatino Linotype"/>
      <w:color w:val="000000"/>
      <w:sz w:val="24"/>
      <w:szCs w:val="22"/>
      <w:lang w:eastAsia="de-CH"/>
    </w:rPr>
  </w:style>
  <w:style w:type="table" w:customStyle="1" w:styleId="MDPITable">
    <w:name w:val="MDPI_Table"/>
    <w:basedOn w:val="NormaleTabelle"/>
    <w:uiPriority w:val="99"/>
    <w:rsid w:val="007B683B"/>
    <w:rPr>
      <w:rFonts w:ascii="Palatino Linotype" w:hAnsi="Palatino Linotype"/>
      <w:color w:val="000000"/>
      <w:lang w:val="en-CA" w:eastAsia="en-US"/>
    </w:rPr>
    <w:tblPr>
      <w:tblCellMar>
        <w:left w:w="0" w:type="dxa"/>
        <w:right w:w="0" w:type="dxa"/>
      </w:tblCellMar>
    </w:tblPr>
  </w:style>
  <w:style w:type="paragraph" w:customStyle="1" w:styleId="MDPItext">
    <w:name w:val="MDPI_text"/>
    <w:qFormat/>
    <w:rsid w:val="007B683B"/>
    <w:pPr>
      <w:spacing w:line="260" w:lineRule="atLeast"/>
      <w:ind w:left="425" w:right="425" w:firstLine="284"/>
      <w:jc w:val="both"/>
    </w:pPr>
    <w:rPr>
      <w:rFonts w:ascii="Times New Roman" w:eastAsia="Times New Roman" w:hAnsi="Times New Roman"/>
      <w:noProof/>
      <w:snapToGrid w:val="0"/>
      <w:color w:val="000000"/>
      <w:sz w:val="22"/>
      <w:szCs w:val="22"/>
      <w:lang w:eastAsia="de-DE" w:bidi="en-US"/>
    </w:rPr>
  </w:style>
  <w:style w:type="paragraph" w:customStyle="1" w:styleId="MDPItitle">
    <w:name w:val="MDPI_title"/>
    <w:qFormat/>
    <w:rsid w:val="007B683B"/>
    <w:pPr>
      <w:adjustRightInd w:val="0"/>
      <w:snapToGrid w:val="0"/>
      <w:spacing w:after="240" w:line="260" w:lineRule="atLeast"/>
      <w:jc w:val="both"/>
    </w:pPr>
    <w:rPr>
      <w:rFonts w:ascii="Palatino Linotype" w:eastAsia="Times New Roman" w:hAnsi="Palatino Linotype"/>
      <w:b/>
      <w:snapToGrid w:val="0"/>
      <w:color w:val="000000"/>
      <w:sz w:val="36"/>
      <w:lang w:eastAsia="de-DE" w:bidi="en-US"/>
    </w:rPr>
  </w:style>
  <w:style w:type="character" w:customStyle="1" w:styleId="apple-converted-space">
    <w:name w:val="apple-converted-space"/>
    <w:rsid w:val="007B683B"/>
  </w:style>
  <w:style w:type="paragraph" w:styleId="Literaturverzeichnis">
    <w:name w:val="Bibliography"/>
    <w:basedOn w:val="Standard"/>
    <w:next w:val="Standard"/>
    <w:uiPriority w:val="37"/>
    <w:semiHidden/>
    <w:unhideWhenUsed/>
    <w:rsid w:val="007B683B"/>
  </w:style>
  <w:style w:type="paragraph" w:styleId="Textkrper">
    <w:name w:val="Body Text"/>
    <w:link w:val="TextkrperZchn"/>
    <w:rsid w:val="007B683B"/>
    <w:pPr>
      <w:spacing w:after="120" w:line="340" w:lineRule="atLeast"/>
      <w:jc w:val="both"/>
    </w:pPr>
    <w:rPr>
      <w:rFonts w:ascii="Palatino Linotype" w:hAnsi="Palatino Linotype"/>
      <w:color w:val="000000"/>
      <w:sz w:val="24"/>
      <w:lang w:eastAsia="de-DE"/>
    </w:rPr>
  </w:style>
  <w:style w:type="character" w:customStyle="1" w:styleId="TextkrperZchn">
    <w:name w:val="Textkörper Zchn"/>
    <w:link w:val="Textkrper"/>
    <w:rsid w:val="007B683B"/>
    <w:rPr>
      <w:rFonts w:ascii="Palatino Linotype" w:hAnsi="Palatino Linotype"/>
      <w:color w:val="000000"/>
      <w:sz w:val="24"/>
      <w:lang w:eastAsia="de-DE"/>
    </w:rPr>
  </w:style>
  <w:style w:type="character" w:styleId="Kommentarzeichen">
    <w:name w:val="annotation reference"/>
    <w:rsid w:val="007B683B"/>
    <w:rPr>
      <w:sz w:val="21"/>
      <w:szCs w:val="21"/>
    </w:rPr>
  </w:style>
  <w:style w:type="paragraph" w:styleId="Kommentartext">
    <w:name w:val="annotation text"/>
    <w:basedOn w:val="Standard"/>
    <w:link w:val="KommentartextZchn"/>
    <w:rsid w:val="007B683B"/>
  </w:style>
  <w:style w:type="character" w:customStyle="1" w:styleId="KommentartextZchn">
    <w:name w:val="Kommentartext Zchn"/>
    <w:link w:val="Kommentartext"/>
    <w:rsid w:val="007B683B"/>
    <w:rPr>
      <w:rFonts w:ascii="Palatino Linotype" w:hAnsi="Palatino Linotype"/>
      <w:noProof/>
      <w:color w:val="000000"/>
    </w:rPr>
  </w:style>
  <w:style w:type="paragraph" w:styleId="Kommentarthema">
    <w:name w:val="annotation subject"/>
    <w:basedOn w:val="Kommentartext"/>
    <w:next w:val="Kommentartext"/>
    <w:link w:val="KommentarthemaZchn"/>
    <w:rsid w:val="007B683B"/>
    <w:rPr>
      <w:b/>
      <w:bCs/>
    </w:rPr>
  </w:style>
  <w:style w:type="character" w:customStyle="1" w:styleId="KommentarthemaZchn">
    <w:name w:val="Kommentarthema Zchn"/>
    <w:link w:val="Kommentarthema"/>
    <w:rsid w:val="007B683B"/>
    <w:rPr>
      <w:rFonts w:ascii="Palatino Linotype" w:hAnsi="Palatino Linotype"/>
      <w:b/>
      <w:bCs/>
      <w:noProof/>
      <w:color w:val="000000"/>
    </w:rPr>
  </w:style>
  <w:style w:type="character" w:styleId="Endnotenzeichen">
    <w:name w:val="endnote reference"/>
    <w:rsid w:val="007B683B"/>
    <w:rPr>
      <w:vertAlign w:val="superscript"/>
    </w:rPr>
  </w:style>
  <w:style w:type="paragraph" w:styleId="Endnotentext">
    <w:name w:val="endnote text"/>
    <w:basedOn w:val="Standard"/>
    <w:link w:val="EndnotentextZchn"/>
    <w:semiHidden/>
    <w:unhideWhenUsed/>
    <w:rsid w:val="007B683B"/>
    <w:pPr>
      <w:spacing w:line="240" w:lineRule="auto"/>
    </w:pPr>
  </w:style>
  <w:style w:type="character" w:customStyle="1" w:styleId="EndnotentextZchn">
    <w:name w:val="Endnotentext Zchn"/>
    <w:link w:val="Endnotentext"/>
    <w:semiHidden/>
    <w:rsid w:val="007B683B"/>
    <w:rPr>
      <w:rFonts w:ascii="Palatino Linotype" w:hAnsi="Palatino Linotype"/>
      <w:noProof/>
      <w:color w:val="000000"/>
    </w:rPr>
  </w:style>
  <w:style w:type="character" w:styleId="BesuchterLink">
    <w:name w:val="FollowedHyperlink"/>
    <w:rsid w:val="007B683B"/>
    <w:rPr>
      <w:color w:val="954F72"/>
      <w:u w:val="single"/>
    </w:rPr>
  </w:style>
  <w:style w:type="paragraph" w:styleId="Funotentext">
    <w:name w:val="footnote text"/>
    <w:basedOn w:val="Standard"/>
    <w:link w:val="FunotentextZchn"/>
    <w:semiHidden/>
    <w:unhideWhenUsed/>
    <w:rsid w:val="007B683B"/>
    <w:pPr>
      <w:spacing w:line="240" w:lineRule="auto"/>
    </w:pPr>
  </w:style>
  <w:style w:type="character" w:customStyle="1" w:styleId="FunotentextZchn">
    <w:name w:val="Fußnotentext Zchn"/>
    <w:link w:val="Funotentext"/>
    <w:semiHidden/>
    <w:rsid w:val="007B683B"/>
    <w:rPr>
      <w:rFonts w:ascii="Palatino Linotype" w:hAnsi="Palatino Linotype"/>
      <w:noProof/>
      <w:color w:val="000000"/>
    </w:rPr>
  </w:style>
  <w:style w:type="paragraph" w:styleId="StandardWeb">
    <w:name w:val="Normal (Web)"/>
    <w:basedOn w:val="Standard"/>
    <w:uiPriority w:val="99"/>
    <w:rsid w:val="007B683B"/>
    <w:rPr>
      <w:szCs w:val="24"/>
    </w:rPr>
  </w:style>
  <w:style w:type="paragraph" w:customStyle="1" w:styleId="MsoFootnoteText0">
    <w:name w:val="MsoFootnoteText"/>
    <w:basedOn w:val="StandardWeb"/>
    <w:qFormat/>
    <w:rsid w:val="007B683B"/>
    <w:rPr>
      <w:rFonts w:ascii="Times New Roman" w:hAnsi="Times New Roman"/>
    </w:rPr>
  </w:style>
  <w:style w:type="character" w:styleId="Seitenzahl">
    <w:name w:val="page number"/>
    <w:rsid w:val="007B683B"/>
  </w:style>
  <w:style w:type="character" w:styleId="Platzhaltertext">
    <w:name w:val="Placeholder Text"/>
    <w:uiPriority w:val="99"/>
    <w:semiHidden/>
    <w:rsid w:val="007B683B"/>
    <w:rPr>
      <w:color w:val="808080"/>
    </w:rPr>
  </w:style>
  <w:style w:type="paragraph" w:customStyle="1" w:styleId="MDPI71FootNotes">
    <w:name w:val="MDPI_7.1_FootNotes"/>
    <w:qFormat/>
    <w:rsid w:val="00F14A16"/>
    <w:pPr>
      <w:numPr>
        <w:numId w:val="20"/>
      </w:numPr>
      <w:adjustRightInd w:val="0"/>
      <w:snapToGrid w:val="0"/>
      <w:spacing w:line="228" w:lineRule="auto"/>
    </w:pPr>
    <w:rPr>
      <w:rFonts w:ascii="Palatino Linotype" w:eastAsiaTheme="minorEastAsia" w:hAnsi="Palatino Linotype"/>
      <w:noProof/>
      <w:color w:val="000000"/>
      <w:sz w:val="18"/>
    </w:rPr>
  </w:style>
  <w:style w:type="paragraph" w:styleId="Beschriftung">
    <w:name w:val="caption"/>
    <w:basedOn w:val="Standard"/>
    <w:next w:val="Standard"/>
    <w:uiPriority w:val="35"/>
    <w:unhideWhenUsed/>
    <w:qFormat/>
    <w:rsid w:val="00164CB0"/>
    <w:pPr>
      <w:spacing w:after="200" w:line="240" w:lineRule="auto"/>
    </w:pPr>
    <w:rPr>
      <w:i/>
      <w:iCs/>
      <w:color w:val="44546A" w:themeColor="text2"/>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22779586">
      <w:bodyDiv w:val="1"/>
      <w:marLeft w:val="0"/>
      <w:marRight w:val="0"/>
      <w:marTop w:val="0"/>
      <w:marBottom w:val="0"/>
      <w:divBdr>
        <w:top w:val="none" w:sz="0" w:space="0" w:color="auto"/>
        <w:left w:val="none" w:sz="0" w:space="0" w:color="auto"/>
        <w:bottom w:val="none" w:sz="0" w:space="0" w:color="auto"/>
        <w:right w:val="none" w:sz="0" w:space="0" w:color="auto"/>
      </w:divBdr>
    </w:div>
  </w:divs>
  <w:encoding w:val="iso-8859-6"/>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header" Target="header1.xml"/><Relationship Id="rId3" Type="http://schemas.openxmlformats.org/officeDocument/2006/relationships/styles" Target="styles.xml"/><Relationship Id="rId21" Type="http://schemas.openxmlformats.org/officeDocument/2006/relationships/image" Target="media/image14.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header" Target="header3.xml"/><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jpeg"/><Relationship Id="rId27" Type="http://schemas.openxmlformats.org/officeDocument/2006/relationships/header" Target="header2.xml"/><Relationship Id="rId30" Type="http://schemas.openxmlformats.org/officeDocument/2006/relationships/fontTable" Target="fontTable.xml"/></Relationships>
</file>

<file path=word/_rels/header3.xml.rels><?xml version="1.0" encoding="UTF-8" standalone="yes"?>
<Relationships xmlns="http://schemas.openxmlformats.org/package/2006/relationships"><Relationship Id="rId2" Type="http://schemas.openxmlformats.org/officeDocument/2006/relationships/image" Target="media/image20.png"/><Relationship Id="rId1" Type="http://schemas.openxmlformats.org/officeDocument/2006/relationships/image" Target="media/image19.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rtannenb\Downloads\biosensors-template.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9715FFB-F1D0-4E67-93E7-6EF4CB3A13D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biosensors-template.dot</Template>
  <TotalTime>0</TotalTime>
  <Pages>10</Pages>
  <Words>1215</Words>
  <Characters>7661</Characters>
  <Application>Microsoft Office Word</Application>
  <DocSecurity>0</DocSecurity>
  <Lines>63</Lines>
  <Paragraphs>17</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Type of the Paper (Article</vt:lpstr>
      <vt:lpstr>Type of the Paper (Article</vt:lpstr>
    </vt:vector>
  </TitlesOfParts>
  <Company/>
  <LinksUpToDate>false</LinksUpToDate>
  <CharactersWithSpaces>8859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Type of the Paper (Article</dc:title>
  <dc:subject/>
  <dc:creator>Tannenberg, Robert</dc:creator>
  <cp:keywords/>
  <dc:description/>
  <cp:lastModifiedBy>Weller, Michael G.</cp:lastModifiedBy>
  <cp:revision>2</cp:revision>
  <dcterms:created xsi:type="dcterms:W3CDTF">2023-02-06T15:31:00Z</dcterms:created>
  <dcterms:modified xsi:type="dcterms:W3CDTF">2023-02-06T15:31:00Z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e625e7192654bebd4866fea52a39e49d63af2c140a3328ff7115a1c1a445314f</vt:lpwstr>
  </property>
</Properties>
</file>